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Grilledutableau"/>
        <w:tblW w:w="3062" w:type="dxa"/>
        <w:jc w:val="start"/>
        <w:tblInd w:w="-227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3062"/>
      </w:tblGrid>
      <w:tr>
        <w:trPr>
          <w:trHeight w:val="1562" w:hRule="atLeast"/>
        </w:trPr>
        <w:tc>
          <w:tcPr>
            <w:tcW w:w="30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end="-142"/>
              <w:jc w:val="both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drawing>
                <wp:inline distT="0" distB="0" distL="0" distR="0">
                  <wp:extent cx="1682115" cy="92583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925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tabs>
                <w:tab w:val="clear" w:pos="708"/>
                <w:tab w:val="left" w:pos="951" w:leader="none"/>
              </w:tabs>
              <w:suppressAutoHyphens w:val="true"/>
              <w:spacing w:before="0" w:after="0"/>
              <w:jc w:val="start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ab/>
            </w:r>
          </w:p>
        </w:tc>
      </w:tr>
    </w:tbl>
    <w:p>
      <w:pPr>
        <w:pStyle w:val="Normal"/>
        <w:suppressAutoHyphens w:val="false"/>
        <w:spacing w:beforeAutospacing="1" w:after="0"/>
        <w:rPr>
          <w:sz w:val="16"/>
          <w:szCs w:val="16"/>
        </w:rPr>
      </w:pPr>
      <w:r>
        <mc:AlternateContent>
          <mc:Choice Requires="wps">
            <w:drawing>
              <wp:anchor distT="39370" distB="81915" distL="106680" distR="146050" simplePos="0" relativeHeight="6" behindDoc="0" locked="0" layoutInCell="0" allowOverlap="1" wp14:anchorId="57D1F5F5">
                <wp:simplePos x="0" y="0"/>
                <wp:positionH relativeFrom="margin">
                  <wp:posOffset>629920</wp:posOffset>
                </wp:positionH>
                <wp:positionV relativeFrom="paragraph">
                  <wp:posOffset>-1008380</wp:posOffset>
                </wp:positionV>
                <wp:extent cx="4400550" cy="683260"/>
                <wp:effectExtent l="635" t="635" r="635" b="635"/>
                <wp:wrapSquare wrapText="bothSides"/>
                <wp:docPr id="2" name="Cadr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640" cy="68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Lettre de mission Référent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« Compétences Numérique et Citoyenneté »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Année scolaire 2026-2027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9.6pt;margin-top:-79.4pt;width:346.45pt;height:53.75pt;mso-wrap-style:square;v-text-anchor:top;mso-position-horizontal-relative:margin" wp14:anchorId="57D1F5F5">
                <v:fill o:detectmouseclick="t" type="solid" color2="black"/>
                <v:stroke color="black" joinstyle="round" endcap="flat"/>
                <v:textbox>
                  <w:txbxContent>
                    <w:p>
                      <w:pPr>
                        <w:pStyle w:val="Contenudecadreuser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Lettre de mission Référent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« Compétences Numérique et Citoyenneté »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Année scolaire 2026-2027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" behindDoc="0" locked="0" layoutInCell="1" allowOverlap="1" wp14:anchorId="1CC0E9AC">
                <wp:simplePos x="0" y="0"/>
                <wp:positionH relativeFrom="column">
                  <wp:posOffset>-1515745</wp:posOffset>
                </wp:positionH>
                <wp:positionV relativeFrom="paragraph">
                  <wp:posOffset>204470</wp:posOffset>
                </wp:positionV>
                <wp:extent cx="1069340" cy="3031490"/>
                <wp:effectExtent l="0" t="0" r="0" b="0"/>
                <wp:wrapNone/>
                <wp:docPr id="3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" cy="303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5"/>
                              <w:spacing w:lineRule="exact" w:line="180" w:before="0" w:after="0"/>
                              <w:jc w:val="end"/>
                              <w:rPr>
                                <w:rFonts w:ascii="Arial Narrow" w:hAnsi="Arial Narrow"/>
                                <w:b w:val="false"/>
                                <w:bCs w:val="false"/>
                                <w:i w:val="false"/>
                                <w:iCs w:val="fals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i w:val="false"/>
                                <w:iCs w:val="false"/>
                                <w:color w:val="000000"/>
                                <w:sz w:val="18"/>
                                <w:szCs w:val="18"/>
                              </w:rPr>
                              <w:t>DRANE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Délégation de 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Région Académique 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au Numérique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pour l’Éducation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Affaire suivie par :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Guillaume Allemann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DRANE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guillaume.allemann@ac-guyane.fr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BP 6011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97306 CAYENNE Cedex</w:t>
                            </w:r>
                          </w:p>
                          <w:p>
                            <w:pPr>
                              <w:pStyle w:val="Contenudecadre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210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bookmarkStart w:id="0" w:name="_Hlk177449684"/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Réf.       2026-27/</w:t>
                            </w:r>
                            <w:bookmarkEnd w:id="0"/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GA</w:t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Réf. :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>11 // J-F.S.</w:t>
                            </w:r>
                          </w:p>
                          <w:p>
                            <w:pPr>
                              <w:pStyle w:val="Contenudecadre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-119.35pt;margin-top:16.1pt;width:84.15pt;height:238.65pt;mso-wrap-style:square;v-text-anchor:top" wp14:anchorId="1CC0E9AC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Heading5"/>
                        <w:spacing w:lineRule="exact" w:line="180" w:before="0" w:after="0"/>
                        <w:jc w:val="end"/>
                        <w:rPr>
                          <w:rFonts w:ascii="Arial Narrow" w:hAnsi="Arial Narrow"/>
                          <w:b w:val="false"/>
                          <w:bCs w:val="false"/>
                          <w:i w:val="false"/>
                          <w:iCs w:val="false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i w:val="false"/>
                          <w:iCs w:val="false"/>
                          <w:color w:val="000000"/>
                          <w:sz w:val="18"/>
                          <w:szCs w:val="18"/>
                        </w:rPr>
                        <w:t>DRANE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 xml:space="preserve">Délégation de 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 xml:space="preserve">Région Académique 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au Numérique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pour l’Éducation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Affaire suivie par :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Guillaume Allemann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DRANE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guillaume.allemann@ac-guyane.fr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BP 6011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97306 CAYENNE Cedex</w:t>
                      </w:r>
                    </w:p>
                    <w:p>
                      <w:pPr>
                        <w:pStyle w:val="Contenudecadre"/>
                        <w:spacing w:lineRule="exact" w:line="210"/>
                        <w:jc w:val="end"/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"/>
                        <w:spacing w:lineRule="exact" w:line="210"/>
                        <w:jc w:val="end"/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"/>
                        <w:spacing w:lineRule="exact" w:line="210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bookmarkStart w:id="1" w:name="_Hlk177449684"/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Réf.       2026-27/</w:t>
                      </w:r>
                      <w:bookmarkEnd w:id="1"/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GA</w:t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spacing w:lineRule="exact" w:line="180"/>
                        <w:jc w:val="end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Réf. :</w:t>
                      </w: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>11 // J-F.S.</w:t>
                      </w:r>
                    </w:p>
                    <w:p>
                      <w:pPr>
                        <w:pStyle w:val="Contenudecadre"/>
                        <w:spacing w:lineRule="exact" w:line="21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Calibri"/>
          <w:b/>
          <w:bCs/>
          <w:sz w:val="16"/>
          <w:szCs w:val="16"/>
        </w:rPr>
        <w:t>Sous l’autorité du chef d’établissement</w:t>
      </w:r>
      <w:r>
        <w:rPr>
          <w:rFonts w:eastAsia="Calibri"/>
          <w:sz w:val="16"/>
          <w:szCs w:val="16"/>
        </w:rPr>
        <w:t>, en étroite collaboration avec</w:t>
      </w:r>
      <w:r>
        <w:rPr>
          <w:sz w:val="16"/>
          <w:szCs w:val="16"/>
        </w:rPr>
        <w:t>,</w:t>
      </w:r>
    </w:p>
    <w:p>
      <w:pPr>
        <w:pStyle w:val="ListParagraph"/>
        <w:numPr>
          <w:ilvl w:val="0"/>
          <w:numId w:val="2"/>
        </w:numPr>
        <w:ind w:hanging="360" w:start="720" w:end="-285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La </w:t>
      </w:r>
      <w:r>
        <w:rPr>
          <w:rFonts w:eastAsia="Calibri"/>
          <w:b/>
          <w:bCs/>
          <w:sz w:val="16"/>
          <w:szCs w:val="16"/>
        </w:rPr>
        <w:t>Délégation Régionale Académique au Numérique pour l’Éducation (DRANE)</w:t>
      </w:r>
      <w:r>
        <w:rPr>
          <w:rFonts w:eastAsia="Calibri"/>
          <w:sz w:val="16"/>
          <w:szCs w:val="16"/>
        </w:rPr>
        <w:t>,</w:t>
      </w:r>
    </w:p>
    <w:p>
      <w:pPr>
        <w:pStyle w:val="Normal"/>
        <w:numPr>
          <w:ilvl w:val="0"/>
          <w:numId w:val="2"/>
        </w:numPr>
        <w:suppressAutoHyphens w:val="false"/>
        <w:ind w:hanging="357" w:start="714"/>
        <w:rPr>
          <w:sz w:val="16"/>
          <w:szCs w:val="16"/>
        </w:rPr>
      </w:pPr>
      <w:r>
        <w:rPr>
          <w:sz w:val="16"/>
          <w:szCs w:val="16"/>
        </w:rPr>
        <w:t>Le Référent aux Usages Pédagogiques du Numérique (RUPN) de l’établissement.</w:t>
      </w:r>
    </w:p>
    <w:p>
      <w:pPr>
        <w:pStyle w:val="Normal"/>
        <w:suppressAutoHyphens w:val="false"/>
        <w:rPr>
          <w:sz w:val="16"/>
          <w:szCs w:val="16"/>
        </w:rPr>
      </w:pPr>
      <w:bookmarkStart w:id="2" w:name="_Hlk231284907"/>
      <w:r>
        <w:rPr/>
        <mc:AlternateContent>
          <mc:Choice Requires="wps">
            <w:drawing>
              <wp:inline distT="0" distB="0" distL="0" distR="0" wp14:anchorId="05F68586">
                <wp:extent cx="5129530" cy="19050"/>
                <wp:effectExtent l="0" t="0" r="0" b="0"/>
                <wp:docPr id="4" name="Form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03.85pt;height:1.45pt;mso-wrap-style:none;v-text-anchor:middle" wp14:anchorId="05F68586">
                <v:fill o:detectmouseclick="t" type="solid" color2="#5f5f5f"/>
                <v:stroke color="#3465a4" joinstyle="round" endcap="flat"/>
              </v:rect>
            </w:pict>
          </mc:Fallback>
        </mc:AlternateContent>
      </w:r>
      <w:bookmarkEnd w:id="2"/>
      <w:r>
        <w:rPr>
          <w:b/>
          <w:bCs/>
          <w:sz w:val="16"/>
          <w:szCs w:val="16"/>
        </w:rPr>
        <w:t>Contexte et objectifs</w:t>
      </w:r>
    </w:p>
    <w:p>
      <w:pPr>
        <w:pStyle w:val="Normal"/>
        <w:suppressAutoHyphens w:val="false"/>
        <w:spacing w:beforeAutospacing="1" w:afterAutospacing="1"/>
        <w:rPr>
          <w:sz w:val="16"/>
          <w:szCs w:val="16"/>
        </w:rPr>
      </w:pPr>
      <w:r>
        <w:rPr>
          <w:sz w:val="16"/>
          <w:szCs w:val="16"/>
        </w:rPr>
        <w:t>Dans le cadre de la feuille de route académique pour le numérique éducatif, cette mission vise à :</w:t>
      </w:r>
    </w:p>
    <w:p>
      <w:pPr>
        <w:pStyle w:val="Normal"/>
        <w:numPr>
          <w:ilvl w:val="0"/>
          <w:numId w:val="3"/>
        </w:numPr>
        <w:suppressAutoHyphens w:val="false"/>
        <w:spacing w:beforeAutospacing="1" w:after="0"/>
        <w:rPr>
          <w:sz w:val="16"/>
          <w:szCs w:val="16"/>
        </w:rPr>
      </w:pPr>
      <w:r>
        <w:rPr>
          <w:b/>
          <w:bCs/>
          <w:sz w:val="16"/>
          <w:szCs w:val="16"/>
        </w:rPr>
        <w:t>Déployer les certifications des compétences numériques</w:t>
      </w:r>
      <w:r>
        <w:rPr>
          <w:sz w:val="16"/>
          <w:szCs w:val="16"/>
        </w:rPr>
        <w:t xml:space="preserve"> (PIX et PIX+EDU) pour les élèves et les enseignants.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rPr>
          <w:sz w:val="16"/>
          <w:szCs w:val="16"/>
        </w:rPr>
      </w:pPr>
      <w:r>
        <w:rPr>
          <w:b/>
          <w:bCs/>
          <w:sz w:val="16"/>
          <w:szCs w:val="16"/>
        </w:rPr>
        <w:t>Instaurer une culture d’usage raisonné et éthique du numérique</w:t>
      </w:r>
      <w:r>
        <w:rPr>
          <w:sz w:val="16"/>
          <w:szCs w:val="16"/>
        </w:rPr>
        <w:t xml:space="preserve"> au sein de l’établissement, en conformité avec les directives académiques et nationales.</w:t>
      </w:r>
    </w:p>
    <w:p>
      <w:pPr>
        <w:pStyle w:val="Normal"/>
        <w:numPr>
          <w:ilvl w:val="0"/>
          <w:numId w:val="3"/>
        </w:numPr>
        <w:suppressAutoHyphens w:val="false"/>
        <w:ind w:hanging="357" w:start="714"/>
        <w:rPr>
          <w:sz w:val="16"/>
          <w:szCs w:val="16"/>
        </w:rPr>
      </w:pPr>
      <w:r>
        <w:rPr>
          <w:b/>
          <w:bCs/>
          <w:sz w:val="16"/>
          <w:szCs w:val="16"/>
        </w:rPr>
        <w:t>Sensibiliser aux enjeux de la cybersécurité</w:t>
      </w:r>
      <w:r>
        <w:rPr>
          <w:sz w:val="16"/>
          <w:szCs w:val="16"/>
        </w:rPr>
        <w:t xml:space="preserve"> et promouvoir les outils numériques académiques.</w:t>
      </w:r>
    </w:p>
    <w:p>
      <w:pPr>
        <w:pStyle w:val="Normal"/>
        <w:suppressAutoHyphens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start="567" w:end="-284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Le RCNC agit en </w:t>
      </w:r>
      <w:r>
        <w:rPr>
          <w:rFonts w:eastAsia="Calibri"/>
          <w:b/>
          <w:bCs/>
          <w:sz w:val="16"/>
          <w:szCs w:val="16"/>
        </w:rPr>
        <w:t>synergie avec le RUPN</w:t>
      </w:r>
      <w:r>
        <w:rPr>
          <w:rFonts w:eastAsia="Calibri"/>
          <w:sz w:val="16"/>
          <w:szCs w:val="16"/>
        </w:rPr>
        <w:t xml:space="preserve"> pour garantir une approche </w:t>
      </w:r>
      <w:r>
        <w:rPr>
          <w:rFonts w:eastAsia="Calibri"/>
          <w:b/>
          <w:bCs/>
          <w:sz w:val="16"/>
          <w:szCs w:val="16"/>
        </w:rPr>
        <w:t>à la fois innovante, sécurisée et responsable</w:t>
      </w:r>
      <w:r>
        <w:rPr>
          <w:rFonts w:eastAsia="Calibri"/>
          <w:sz w:val="16"/>
          <w:szCs w:val="16"/>
        </w:rPr>
        <w:t xml:space="preserve"> du numérique éducatif.</w:t>
      </w:r>
    </w:p>
    <w:p>
      <w:pPr>
        <w:pStyle w:val="Normal"/>
        <w:suppressAutoHyphens w:val="false"/>
        <w:rPr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3DFA9EBD">
                <wp:extent cx="5129530" cy="19050"/>
                <wp:effectExtent l="0" t="0" r="0" b="0"/>
                <wp:docPr id="5" name="Form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03.85pt;height:1.45pt;mso-wrap-style:none;v-text-anchor:middle" wp14:anchorId="3DFA9EBD">
                <v:fill o:detectmouseclick="t" type="solid" color2="#5f5f5f"/>
                <v:stroke color="#3465a4" joinstyle="round" endcap="flat"/>
              </v:rect>
            </w:pict>
          </mc:Fallback>
        </mc:AlternateContent>
      </w:r>
      <w:r>
        <w:rPr>
          <w:b/>
          <w:bCs/>
          <w:sz w:val="16"/>
          <w:szCs w:val="16"/>
        </w:rPr>
        <w:t>Missions détaillées</w:t>
      </w:r>
    </w:p>
    <w:p>
      <w:pPr>
        <w:pStyle w:val="Normal"/>
        <w:numPr>
          <w:ilvl w:val="0"/>
          <w:numId w:val="0"/>
        </w:numPr>
        <w:suppressAutoHyphens w:val="false"/>
        <w:spacing w:beforeAutospacing="1" w:after="0"/>
        <w:outlineLvl w:val="3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1. Accompagner l’équipe éducative</w:t>
      </w:r>
    </w:p>
    <w:p>
      <w:pPr>
        <w:pStyle w:val="Normal"/>
        <w:numPr>
          <w:ilvl w:val="0"/>
          <w:numId w:val="4"/>
        </w:numPr>
        <w:suppressAutoHyphens w:val="false"/>
        <w:ind w:hanging="357" w:start="714"/>
        <w:rPr>
          <w:sz w:val="16"/>
          <w:szCs w:val="16"/>
        </w:rPr>
      </w:pPr>
      <w:r>
        <w:rPr>
          <w:b/>
          <w:bCs/>
          <w:sz w:val="16"/>
          <w:szCs w:val="16"/>
        </w:rPr>
        <w:t>Former et se former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4"/>
        </w:numPr>
        <w:suppressAutoHyphens w:val="false"/>
        <w:rPr>
          <w:sz w:val="16"/>
          <w:szCs w:val="16"/>
        </w:rPr>
      </w:pPr>
      <w:r>
        <w:rPr>
          <w:sz w:val="16"/>
          <w:szCs w:val="16"/>
        </w:rPr>
        <w:t xml:space="preserve">Organiser des </w:t>
      </w:r>
      <w:r>
        <w:rPr>
          <w:b/>
          <w:bCs/>
          <w:sz w:val="16"/>
          <w:szCs w:val="16"/>
        </w:rPr>
        <w:t>Formations d’Initiative Local</w:t>
      </w:r>
      <w:r>
        <w:rPr>
          <w:sz w:val="16"/>
          <w:szCs w:val="16"/>
        </w:rPr>
        <w:t xml:space="preserve"> sur le numérique raisonné, l’éthique et la cybersécurité et accompagner les équipes pédagogiques dans l'intégration des compétences numériques aux apprentissages disciplinaires.</w:t>
      </w:r>
    </w:p>
    <w:p>
      <w:pPr>
        <w:pStyle w:val="Normal"/>
        <w:numPr>
          <w:ilvl w:val="1"/>
          <w:numId w:val="4"/>
        </w:numPr>
        <w:suppressAutoHyphens w:val="false"/>
        <w:rPr>
          <w:sz w:val="16"/>
          <w:szCs w:val="16"/>
        </w:rPr>
      </w:pPr>
      <w:r>
        <w:rPr>
          <w:sz w:val="16"/>
          <w:szCs w:val="16"/>
        </w:rPr>
        <w:t xml:space="preserve">S’auto-positionner sur </w:t>
      </w:r>
      <w:r>
        <w:rPr>
          <w:b/>
          <w:bCs/>
          <w:sz w:val="16"/>
          <w:szCs w:val="16"/>
        </w:rPr>
        <w:t>PIX+EDU</w:t>
      </w:r>
      <w:r>
        <w:rPr>
          <w:sz w:val="16"/>
          <w:szCs w:val="16"/>
        </w:rPr>
        <w:t xml:space="preserve"> et accompagner les enseignants volontaires dans cette démarche.</w:t>
      </w:r>
    </w:p>
    <w:p>
      <w:pPr>
        <w:pStyle w:val="Normal"/>
        <w:numPr>
          <w:ilvl w:val="1"/>
          <w:numId w:val="4"/>
        </w:numPr>
        <w:suppressAutoHyphens w:val="false"/>
        <w:rPr>
          <w:sz w:val="16"/>
          <w:szCs w:val="16"/>
        </w:rPr>
      </w:pPr>
      <w:r>
        <w:rPr>
          <w:sz w:val="16"/>
          <w:szCs w:val="16"/>
        </w:rPr>
        <w:t xml:space="preserve">Participer aux </w:t>
      </w:r>
      <w:r>
        <w:rPr>
          <w:b/>
          <w:bCs/>
          <w:sz w:val="16"/>
          <w:szCs w:val="16"/>
        </w:rPr>
        <w:t>journées académiques de regroupement</w:t>
      </w:r>
      <w:r>
        <w:rPr>
          <w:sz w:val="16"/>
          <w:szCs w:val="16"/>
        </w:rPr>
        <w:t xml:space="preserve"> pour actualiser ses connaissances.</w:t>
      </w:r>
    </w:p>
    <w:p>
      <w:pPr>
        <w:pStyle w:val="Normal"/>
        <w:numPr>
          <w:ilvl w:val="0"/>
          <w:numId w:val="4"/>
        </w:numPr>
        <w:suppressAutoHyphens w:val="false"/>
        <w:rPr>
          <w:sz w:val="16"/>
          <w:szCs w:val="16"/>
        </w:rPr>
      </w:pPr>
      <w:r>
        <w:rPr>
          <w:b/>
          <w:bCs/>
          <w:sz w:val="16"/>
          <w:szCs w:val="16"/>
        </w:rPr>
        <w:t>Conseiller le chef d’établissement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4"/>
        </w:numPr>
        <w:suppressAutoHyphens w:val="false"/>
        <w:rPr>
          <w:sz w:val="16"/>
          <w:szCs w:val="16"/>
        </w:rPr>
      </w:pPr>
      <w:r>
        <w:rPr>
          <w:sz w:val="16"/>
          <w:szCs w:val="16"/>
        </w:rPr>
        <w:t xml:space="preserve">Contribuer à l’élaboration du </w:t>
      </w:r>
      <w:r>
        <w:rPr>
          <w:b/>
          <w:bCs/>
          <w:sz w:val="16"/>
          <w:szCs w:val="16"/>
        </w:rPr>
        <w:t>volet numérique du projet d’établissement</w:t>
      </w:r>
      <w:r>
        <w:rPr>
          <w:sz w:val="16"/>
          <w:szCs w:val="16"/>
        </w:rPr>
        <w:t>, en lien avec la feuille de route académique.</w:t>
      </w:r>
    </w:p>
    <w:p>
      <w:pPr>
        <w:pStyle w:val="Normal"/>
        <w:numPr>
          <w:ilvl w:val="1"/>
          <w:numId w:val="4"/>
        </w:numPr>
        <w:suppressAutoHyphens w:val="false"/>
        <w:ind w:hanging="357" w:start="1434"/>
        <w:rPr>
          <w:sz w:val="16"/>
          <w:szCs w:val="16"/>
        </w:rPr>
      </w:pPr>
      <w:r>
        <w:rPr>
          <w:sz w:val="16"/>
          <w:szCs w:val="16"/>
        </w:rPr>
        <w:t xml:space="preserve">Piloter le déploiement de </w:t>
      </w:r>
      <w:r>
        <w:rPr>
          <w:b/>
          <w:bCs/>
          <w:sz w:val="16"/>
          <w:szCs w:val="16"/>
        </w:rPr>
        <w:t>PIX/PIX+EDU</w:t>
      </w:r>
      <w:r>
        <w:rPr>
          <w:sz w:val="16"/>
          <w:szCs w:val="16"/>
        </w:rPr>
        <w:t xml:space="preserve"> et intégrer les enjeux de cybersécurité dans la stratégie de l’établissement.</w:t>
      </w:r>
    </w:p>
    <w:p>
      <w:pPr>
        <w:pStyle w:val="Normal"/>
        <w:numPr>
          <w:ilvl w:val="1"/>
          <w:numId w:val="4"/>
        </w:numPr>
        <w:suppressAutoHyphens w:val="false"/>
        <w:ind w:hanging="357" w:start="1434"/>
        <w:rPr>
          <w:sz w:val="16"/>
          <w:szCs w:val="16"/>
        </w:rPr>
      </w:pPr>
      <w:r>
        <w:rPr>
          <w:sz w:val="16"/>
          <w:szCs w:val="16"/>
        </w:rPr>
        <w:t xml:space="preserve">Gérer l’intégration des applications numérique dans l’ENT via le </w:t>
      </w:r>
      <w:r>
        <w:rPr>
          <w:b/>
          <w:bCs/>
          <w:sz w:val="16"/>
          <w:szCs w:val="16"/>
        </w:rPr>
        <w:t>GAR</w:t>
      </w:r>
      <w:r>
        <w:rPr>
          <w:sz w:val="16"/>
          <w:szCs w:val="16"/>
        </w:rPr>
        <w:t>.</w:t>
      </w:r>
    </w:p>
    <w:p>
      <w:pPr>
        <w:pStyle w:val="Normal"/>
        <w:suppressAutoHyphens w:val="false"/>
        <w:ind w:start="143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0"/>
        </w:numPr>
        <w:suppressAutoHyphens w:val="false"/>
        <w:outlineLvl w:val="3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2. Communiquer</w:t>
      </w:r>
    </w:p>
    <w:p>
      <w:pPr>
        <w:pStyle w:val="Normal"/>
        <w:numPr>
          <w:ilvl w:val="0"/>
          <w:numId w:val="5"/>
        </w:numPr>
        <w:suppressAutoHyphens w:val="false"/>
        <w:ind w:hanging="357" w:start="714"/>
        <w:rPr>
          <w:sz w:val="16"/>
          <w:szCs w:val="16"/>
        </w:rPr>
      </w:pPr>
      <w:r>
        <w:rPr>
          <w:b/>
          <w:bCs/>
          <w:sz w:val="16"/>
          <w:szCs w:val="16"/>
        </w:rPr>
        <w:t>Relayer les informations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5"/>
        </w:numPr>
        <w:suppressAutoHyphens w:val="false"/>
        <w:rPr>
          <w:sz w:val="16"/>
          <w:szCs w:val="16"/>
        </w:rPr>
      </w:pPr>
      <w:r>
        <w:rPr>
          <w:sz w:val="16"/>
          <w:szCs w:val="16"/>
        </w:rPr>
        <w:t xml:space="preserve">Diffuser les </w:t>
      </w:r>
      <w:r>
        <w:rPr>
          <w:b/>
          <w:bCs/>
          <w:sz w:val="16"/>
          <w:szCs w:val="16"/>
        </w:rPr>
        <w:t>arrêtés, communiqués académiques et nationaux</w:t>
      </w:r>
      <w:r>
        <w:rPr>
          <w:sz w:val="16"/>
          <w:szCs w:val="16"/>
        </w:rPr>
        <w:t xml:space="preserve"> liés au numérique éducatif.</w:t>
      </w:r>
    </w:p>
    <w:p>
      <w:pPr>
        <w:pStyle w:val="Normal"/>
        <w:numPr>
          <w:ilvl w:val="0"/>
          <w:numId w:val="5"/>
        </w:numPr>
        <w:suppressAutoHyphens w:val="false"/>
        <w:rPr>
          <w:sz w:val="16"/>
          <w:szCs w:val="16"/>
        </w:rPr>
      </w:pPr>
      <w:r>
        <w:rPr>
          <w:b/>
          <w:bCs/>
          <w:sz w:val="16"/>
          <w:szCs w:val="16"/>
        </w:rPr>
        <w:t>Sensibiliser aux enjeux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5"/>
        </w:numPr>
        <w:suppressAutoHyphens w:val="false"/>
        <w:rPr>
          <w:sz w:val="16"/>
          <w:szCs w:val="16"/>
        </w:rPr>
      </w:pPr>
      <w:r>
        <w:rPr>
          <w:sz w:val="16"/>
          <w:szCs w:val="16"/>
        </w:rPr>
        <w:t xml:space="preserve">Déployer des </w:t>
      </w:r>
      <w:r>
        <w:rPr>
          <w:b/>
          <w:bCs/>
          <w:sz w:val="16"/>
          <w:szCs w:val="16"/>
        </w:rPr>
        <w:t>actions de sensibilisation à la cybersécurité</w:t>
      </w:r>
      <w:r>
        <w:rPr>
          <w:sz w:val="16"/>
          <w:szCs w:val="16"/>
        </w:rPr>
        <w:t xml:space="preserve"> (ex : ateliers, supports pédagogiques).</w:t>
      </w:r>
    </w:p>
    <w:p>
      <w:pPr>
        <w:pStyle w:val="Normal"/>
        <w:numPr>
          <w:ilvl w:val="1"/>
          <w:numId w:val="5"/>
        </w:numPr>
        <w:suppressAutoHyphens w:val="false"/>
        <w:ind w:hanging="357" w:start="1434"/>
        <w:rPr>
          <w:sz w:val="16"/>
          <w:szCs w:val="16"/>
        </w:rPr>
      </w:pPr>
      <w:r>
        <w:rPr>
          <w:sz w:val="16"/>
          <w:szCs w:val="16"/>
        </w:rPr>
        <w:t>Collaborer avec l’</w:t>
      </w:r>
      <w:r>
        <w:rPr>
          <w:b/>
          <w:bCs/>
          <w:sz w:val="16"/>
          <w:szCs w:val="16"/>
        </w:rPr>
        <w:t>Interlocuteur Académique pour le Numérique en Éducation aux Médias et à l’Information (IAN EMI)</w:t>
      </w:r>
      <w:r>
        <w:rPr>
          <w:sz w:val="16"/>
          <w:szCs w:val="16"/>
        </w:rPr>
        <w:t xml:space="preserve"> pour promouvoir l’</w:t>
      </w:r>
      <w:r>
        <w:rPr>
          <w:b/>
          <w:bCs/>
          <w:sz w:val="16"/>
          <w:szCs w:val="16"/>
        </w:rPr>
        <w:t>Éducation aux Médias et à l’Information (EMI)</w:t>
      </w:r>
      <w:r>
        <w:rPr>
          <w:sz w:val="16"/>
          <w:szCs w:val="16"/>
        </w:rPr>
        <w:t>.</w:t>
      </w:r>
    </w:p>
    <w:p>
      <w:pPr>
        <w:pStyle w:val="Normal"/>
        <w:suppressAutoHyphens w:val="false"/>
        <w:ind w:start="143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0"/>
        </w:numPr>
        <w:suppressAutoHyphens w:val="false"/>
        <w:outlineLvl w:val="3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3. Impulser des projets et pratiques innovantes</w:t>
      </w:r>
    </w:p>
    <w:p>
      <w:pPr>
        <w:pStyle w:val="Normal"/>
        <w:numPr>
          <w:ilvl w:val="0"/>
          <w:numId w:val="6"/>
        </w:numPr>
        <w:suppressAutoHyphens w:val="false"/>
        <w:ind w:hanging="357" w:start="714"/>
        <w:rPr>
          <w:sz w:val="16"/>
          <w:szCs w:val="16"/>
        </w:rPr>
      </w:pPr>
      <w:r>
        <w:rPr>
          <w:b/>
          <w:bCs/>
          <w:sz w:val="16"/>
          <w:szCs w:val="16"/>
        </w:rPr>
        <w:t>Participer à des dispositifs nationaux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6"/>
        </w:numPr>
        <w:suppressAutoHyphens w:val="false"/>
        <w:rPr>
          <w:sz w:val="16"/>
          <w:szCs w:val="16"/>
        </w:rPr>
      </w:pPr>
      <w:r>
        <w:rPr>
          <w:sz w:val="16"/>
          <w:szCs w:val="16"/>
        </w:rPr>
        <w:t xml:space="preserve">Accompagner les enseignants dans le </w:t>
      </w:r>
      <w:r>
        <w:rPr>
          <w:b/>
          <w:bCs/>
          <w:sz w:val="16"/>
          <w:szCs w:val="16"/>
        </w:rPr>
        <w:t>volet éducatif de l’opération Cactus</w:t>
      </w:r>
      <w:r>
        <w:rPr>
          <w:sz w:val="16"/>
          <w:szCs w:val="16"/>
        </w:rPr>
        <w:t xml:space="preserve"> (cybersécurité).</w:t>
      </w:r>
    </w:p>
    <w:p>
      <w:pPr>
        <w:pStyle w:val="Normal"/>
        <w:numPr>
          <w:ilvl w:val="1"/>
          <w:numId w:val="6"/>
        </w:numPr>
        <w:suppressAutoHyphens w:val="false"/>
        <w:ind w:hanging="357" w:start="1434"/>
        <w:rPr>
          <w:sz w:val="16"/>
          <w:szCs w:val="16"/>
        </w:rPr>
      </w:pPr>
      <w:r>
        <w:rPr>
          <w:sz w:val="16"/>
          <w:szCs w:val="16"/>
        </w:rPr>
        <w:t>Déployer des dispositifs tel que « la fresque des écrans ».</w:t>
      </w:r>
    </w:p>
    <w:p>
      <w:pPr>
        <w:pStyle w:val="Normal"/>
        <w:suppressAutoHyphens w:val="false"/>
        <w:rPr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25D5A386">
                <wp:extent cx="5129530" cy="19050"/>
                <wp:effectExtent l="0" t="0" r="0" b="0"/>
                <wp:docPr id="6" name="Form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03.85pt;height:1.45pt;mso-wrap-style:none;v-text-anchor:middle" wp14:anchorId="25D5A386">
                <v:fill o:detectmouseclick="t" type="solid" color2="#5f5f5f"/>
                <v:stroke color="#3465a4" joinstyle="round" endcap="flat"/>
              </v:rect>
            </w:pict>
          </mc:Fallback>
        </mc:AlternateConten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Évaluation et reconnaissance</w:t>
      </w:r>
    </w:p>
    <w:p>
      <w:pPr>
        <w:pStyle w:val="Normal"/>
        <w:numPr>
          <w:ilvl w:val="0"/>
          <w:numId w:val="7"/>
        </w:numPr>
        <w:suppressAutoHyphens w:val="false"/>
        <w:spacing w:beforeAutospacing="1" w:after="0"/>
        <w:ind w:hanging="357" w:start="714"/>
        <w:rPr>
          <w:sz w:val="16"/>
          <w:szCs w:val="16"/>
        </w:rPr>
      </w:pPr>
      <w:r>
        <w:rPr>
          <w:b/>
          <w:bCs/>
          <w:sz w:val="16"/>
          <w:szCs w:val="16"/>
        </w:rPr>
        <w:t>Bilan annuel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6"/>
        </w:numPr>
        <w:suppressAutoHyphens w:val="false"/>
        <w:ind w:hanging="357" w:start="1434"/>
        <w:rPr>
          <w:sz w:val="16"/>
          <w:szCs w:val="16"/>
        </w:rPr>
      </w:pPr>
      <w:r>
        <w:rPr>
          <w:sz w:val="16"/>
          <w:szCs w:val="16"/>
        </w:rPr>
        <w:t xml:space="preserve">Renseigner </w:t>
      </w:r>
      <w:r>
        <w:rPr>
          <w:b/>
          <w:bCs/>
          <w:sz w:val="16"/>
          <w:szCs w:val="16"/>
        </w:rPr>
        <w:t>avant mi-mai un formulaire en ligne</w:t>
      </w:r>
      <w:r>
        <w:rPr>
          <w:sz w:val="16"/>
          <w:szCs w:val="16"/>
        </w:rPr>
        <w:t xml:space="preserve"> (rapport d’activité) précisant les activités menées au regard de cette lettre de mission. </w:t>
      </w:r>
    </w:p>
    <w:p>
      <w:pPr>
        <w:pStyle w:val="Normal"/>
        <w:numPr>
          <w:ilvl w:val="0"/>
          <w:numId w:val="7"/>
        </w:numPr>
        <w:suppressAutoHyphens w:val="false"/>
        <w:ind w:hanging="357" w:start="714"/>
        <w:rPr>
          <w:sz w:val="16"/>
          <w:szCs w:val="16"/>
        </w:rPr>
      </w:pPr>
      <w:r>
        <w:rPr>
          <w:b/>
          <w:bCs/>
          <w:sz w:val="16"/>
          <w:szCs w:val="16"/>
        </w:rPr>
        <w:t>Indemnisation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6"/>
        </w:numPr>
        <w:suppressAutoHyphens w:val="false"/>
        <w:ind w:hanging="357" w:start="1434"/>
        <w:rPr>
          <w:sz w:val="16"/>
          <w:szCs w:val="16"/>
        </w:rPr>
      </w:pPr>
      <w:r>
        <w:rPr>
          <w:sz w:val="16"/>
          <w:szCs w:val="16"/>
        </w:rPr>
        <w:t>Le RCNC bénéficiera d’une indemnité pour mission particulière (0.5 IMP) en fonction des informations renseignées dans le rapport d’activité.</w:t>
      </w:r>
    </w:p>
    <w:p>
      <w:pPr>
        <w:pStyle w:val="Normal"/>
        <w:suppressAutoHyphens w:val="false"/>
        <w:spacing w:beforeAutospacing="1" w:afterAutospacing="1"/>
        <w:ind w:start="360"/>
        <w:rPr>
          <w:sz w:val="16"/>
          <w:szCs w:val="16"/>
        </w:rPr>
      </w:pPr>
      <w:r>
        <w:rPr>
          <w:sz w:val="16"/>
          <w:szCs w:val="16"/>
        </w:rPr>
        <w:t xml:space="preserve">Fait à Cayenne, le </w:t>
      </w:r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DATE \@"dd\/MM\/yyyy" </w:instrText>
      </w:r>
      <w:r>
        <w:rPr>
          <w:sz w:val="16"/>
          <w:szCs w:val="16"/>
        </w:rPr>
        <w:fldChar w:fldCharType="separate"/>
      </w:r>
      <w:r>
        <w:rPr>
          <w:sz w:val="16"/>
          <w:szCs w:val="16"/>
        </w:rPr>
        <w:t>29/09/2026</w:t>
      </w:r>
      <w:r>
        <w:rPr>
          <w:sz w:val="16"/>
          <w:szCs w:val="16"/>
        </w:rPr>
        <w:fldChar w:fldCharType="end"/>
      </w:r>
    </w:p>
    <w:tbl>
      <w:tblPr>
        <w:tblStyle w:val="Grilledutableau"/>
        <w:tblW w:w="10354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7657"/>
        <w:gridCol w:w="2697"/>
      </w:tblGrid>
      <w:tr>
        <w:trPr>
          <w:trHeight w:val="289" w:hRule="atLeast"/>
        </w:trPr>
        <w:tc>
          <w:tcPr>
            <w:tcW w:w="7657" w:type="dxa"/>
            <w:tcBorders>
              <w:top w:val="nil"/>
              <w:start w:val="nil"/>
              <w:bottom w:val="nil"/>
              <w:end w:val="nil"/>
            </w:tcBorders>
          </w:tcPr>
          <w:tbl>
            <w:tblPr>
              <w:tblpPr w:vertAnchor="text" w:horzAnchor="margin" w:leftFromText="141" w:rightFromText="141" w:tblpX="5" w:tblpY="-102"/>
              <w:tblOverlap w:val="never"/>
              <w:tblW w:w="8075" w:type="dxa"/>
              <w:jc w:val="start"/>
              <w:tblInd w:w="-5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noHBand="0" w:noVBand="1" w:firstColumn="0" w:lastRow="0" w:lastColumn="0" w:firstRow="0" w:val="0400"/>
            </w:tblPr>
            <w:tblGrid>
              <w:gridCol w:w="2832"/>
              <w:gridCol w:w="2696"/>
              <w:gridCol w:w="2547"/>
            </w:tblGrid>
            <w:tr>
              <w:trPr/>
              <w:tc>
                <w:tcPr>
                  <w:tcW w:w="2832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ind w:end="89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  <w:t>Référent(e)</w:t>
                  </w:r>
                  <w:r>
                    <w:rPr/>
                    <w:t xml:space="preserve"> </w:t>
                  </w:r>
                  <w:r>
                    <w:rPr>
                      <w:rFonts w:eastAsia="Calibri"/>
                      <w:sz w:val="16"/>
                      <w:szCs w:val="16"/>
                    </w:rPr>
                    <w:t>CNC</w:t>
                  </w:r>
                </w:p>
                <w:p>
                  <w:pPr>
                    <w:pStyle w:val="Normal"/>
                    <w:ind w:end="-285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-285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-285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-285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-285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</w:tc>
              <w:tc>
                <w:tcPr>
                  <w:tcW w:w="269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  <w:t>Chef(fe) d'établissement</w:t>
                  </w:r>
                </w:p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</w:tc>
              <w:tc>
                <w:tcPr>
                  <w:tcW w:w="2547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ind w:start="178" w:end="45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  <w:t>DRANE</w:t>
                  </w:r>
                </w:p>
                <w:p>
                  <w:pPr>
                    <w:pStyle w:val="Normal"/>
                    <w:ind w:start="178" w:end="45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start="178" w:end="45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start="178" w:end="45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start="178" w:end="45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start="178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ind w:start="178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</w:r>
                </w:p>
              </w:tc>
            </w:tr>
            <w:tr>
              <w:trPr/>
              <w:tc>
                <w:tcPr>
                  <w:tcW w:w="2832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ind w:end="89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  <w:t>Prénom NOM</w:t>
                  </w:r>
                </w:p>
              </w:tc>
              <w:tc>
                <w:tcPr>
                  <w:tcW w:w="269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ind w:end="3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  <w:t>Prénom NOM</w:t>
                  </w:r>
                </w:p>
              </w:tc>
              <w:tc>
                <w:tcPr>
                  <w:tcW w:w="2547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ind w:start="178" w:end="453"/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  <w:t>Serge Mouton</w:t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lineRule="auto" w:line="360" w:before="0" w:after="120"/>
              <w:ind w:start="142"/>
              <w:jc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fr-FR" w:bidi="ar-SA"/>
              </w:rPr>
            </w:r>
          </w:p>
        </w:tc>
        <w:tc>
          <w:tcPr>
            <w:tcW w:w="26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120"/>
              <w:jc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fr-FR" w:bidi="ar-SA"/>
              </w:rPr>
            </w:r>
          </w:p>
        </w:tc>
      </w:tr>
    </w:tbl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sectPr>
      <w:type w:val="nextPage"/>
      <w:pgSz w:w="11906" w:h="16838"/>
      <w:pgMar w:left="2977" w:right="851" w:gutter="0" w:header="0" w:top="851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swiss"/>
    <w:pitch w:val="variable"/>
  </w:font>
  <w:font w:name="Arial Narrow">
    <w:charset w:val="01"/>
    <w:family w:val="swiss"/>
    <w:pitch w:val="variable"/>
  </w:font>
  <w:font w:name="Lucida Grande">
    <w:charset w:val="01"/>
    <w:family w:val="roman"/>
    <w:pitch w:val="variable"/>
  </w:font>
  <w:font w:name="Cambria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Heading4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549d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0"/>
      <w:szCs w:val="20"/>
      <w:lang w:eastAsia="fr-FR" w:val="fr-FR" w:bidi="ar-SA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d47631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paragraph" w:styleId="Heading4">
    <w:name w:val="heading 4"/>
    <w:basedOn w:val="Normal"/>
    <w:next w:val="Normal"/>
    <w:link w:val="Titre4Car"/>
    <w:qFormat/>
    <w:rsid w:val="001b7d8e"/>
    <w:pPr>
      <w:keepNext w:val="true"/>
      <w:numPr>
        <w:ilvl w:val="3"/>
        <w:numId w:val="1"/>
      </w:numPr>
      <w:jc w:val="end"/>
      <w:outlineLvl w:val="3"/>
    </w:pPr>
    <w:rPr>
      <w:rFonts w:ascii="Arial Narrow" w:hAnsi="Arial Narrow" w:cs="Times New Roman"/>
      <w:b/>
      <w:bCs/>
      <w:sz w:val="16"/>
      <w:szCs w:val="24"/>
      <w:lang w:eastAsia="ar-SA"/>
    </w:rPr>
  </w:style>
  <w:style w:type="paragraph" w:styleId="Heading5">
    <w:name w:val="heading 5"/>
    <w:basedOn w:val="Normal"/>
    <w:next w:val="Normal"/>
    <w:link w:val="Titre5Car"/>
    <w:qFormat/>
    <w:rsid w:val="000f549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re5Car" w:customStyle="1">
    <w:name w:val="Titre 5 Car"/>
    <w:basedOn w:val="DefaultParagraphFont"/>
    <w:qFormat/>
    <w:rsid w:val="000f549d"/>
    <w:rPr>
      <w:rFonts w:ascii="Arial" w:hAnsi="Arial" w:eastAsia="Times New Roman" w:cs="Arial"/>
      <w:b/>
      <w:bCs/>
      <w:i/>
      <w:iCs/>
      <w:sz w:val="26"/>
      <w:szCs w:val="26"/>
      <w:lang w:eastAsia="fr-FR"/>
    </w:rPr>
  </w:style>
  <w:style w:type="character" w:styleId="Hyperlink">
    <w:name w:val="Hyperlink"/>
    <w:rsid w:val="000f549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7607"/>
    <w:rPr>
      <w:color w:themeColor="followedHyperlink" w:val="800080"/>
      <w:u w:val="single"/>
    </w:rPr>
  </w:style>
  <w:style w:type="character" w:styleId="En-tteCar" w:customStyle="1">
    <w:name w:val="En-tête Car"/>
    <w:basedOn w:val="DefaultParagraphFont"/>
    <w:uiPriority w:val="99"/>
    <w:qFormat/>
    <w:rsid w:val="00df2a4f"/>
    <w:rPr>
      <w:rFonts w:ascii="Arial" w:hAnsi="Arial" w:eastAsia="Times New Roman" w:cs="Arial"/>
      <w:sz w:val="20"/>
      <w:szCs w:val="20"/>
      <w:lang w:eastAsia="fr-FR"/>
    </w:rPr>
  </w:style>
  <w:style w:type="character" w:styleId="PieddepageCar" w:customStyle="1">
    <w:name w:val="Pied de page Car"/>
    <w:basedOn w:val="DefaultParagraphFont"/>
    <w:uiPriority w:val="99"/>
    <w:qFormat/>
    <w:rsid w:val="00df2a4f"/>
    <w:rPr>
      <w:rFonts w:ascii="Arial" w:hAnsi="Arial" w:eastAsia="Times New Roman" w:cs="Arial"/>
      <w:sz w:val="20"/>
      <w:szCs w:val="20"/>
      <w:lang w:eastAsia="fr-FR"/>
    </w:rPr>
  </w:style>
  <w:style w:type="character" w:styleId="Titre4Car" w:customStyle="1">
    <w:name w:val="Titre 4 Car"/>
    <w:basedOn w:val="DefaultParagraphFont"/>
    <w:qFormat/>
    <w:rsid w:val="001b7d8e"/>
    <w:rPr>
      <w:rFonts w:ascii="Arial Narrow" w:hAnsi="Arial Narrow" w:eastAsia="Times New Roman" w:cs="Times New Roman"/>
      <w:b/>
      <w:bCs/>
      <w:sz w:val="16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9e7db3"/>
    <w:rPr>
      <w:b/>
      <w:bCs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560b59"/>
    <w:rPr>
      <w:rFonts w:ascii="Lucida Grande" w:hAnsi="Lucida Grande" w:eastAsia="Times New Roman" w:cs="Lucida Grande"/>
      <w:sz w:val="18"/>
      <w:szCs w:val="18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a7597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7a7597"/>
    <w:rPr>
      <w:rFonts w:ascii="Arial" w:hAnsi="Arial" w:eastAsia="Times New Roman" w:cs="Arial"/>
      <w:sz w:val="20"/>
      <w:szCs w:val="20"/>
      <w:lang w:eastAsia="fr-FR"/>
    </w:rPr>
  </w:style>
  <w:style w:type="character" w:styleId="ObjetducommentaireCar" w:customStyle="1">
    <w:name w:val="Objet du commentaire Car"/>
    <w:basedOn w:val="CommentaireCar"/>
    <w:link w:val="annotationsubject"/>
    <w:uiPriority w:val="99"/>
    <w:semiHidden/>
    <w:qFormat/>
    <w:rsid w:val="007a7597"/>
    <w:rPr>
      <w:rFonts w:ascii="Arial" w:hAnsi="Arial" w:eastAsia="Times New Roman" w:cs="Arial"/>
      <w:b/>
      <w:bCs/>
      <w:sz w:val="20"/>
      <w:szCs w:val="20"/>
      <w:lang w:eastAsia="fr-FR"/>
    </w:rPr>
  </w:style>
  <w:style w:type="character" w:styleId="Caractresdenotedebasdepageuser" w:customStyle="1">
    <w:name w:val="Caractères de note de bas de page (user)"/>
    <w:qFormat/>
    <w:rPr/>
  </w:style>
  <w:style w:type="character" w:styleId="Caractresdenotedefinuser" w:customStyle="1">
    <w:name w:val="Caractères de note de fin (user)"/>
    <w:qFormat/>
    <w:rPr/>
  </w:style>
  <w:style w:type="character" w:styleId="Titre3Car" w:customStyle="1">
    <w:name w:val="Titre 3 Car"/>
    <w:basedOn w:val="DefaultParagraphFont"/>
    <w:uiPriority w:val="9"/>
    <w:semiHidden/>
    <w:rsid w:val="00d47631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  <w:lang w:eastAsia="fr-FR"/>
    </w:rPr>
  </w:style>
  <w:style w:type="paragraph" w:styleId="Titre" w:customStyle="1">
    <w:name w:val="Titr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ListParagraph">
    <w:name w:val="List Paragraph"/>
    <w:basedOn w:val="Normal"/>
    <w:uiPriority w:val="34"/>
    <w:qFormat/>
    <w:rsid w:val="000f549d"/>
    <w:pPr>
      <w:spacing w:before="0" w:after="0"/>
      <w:ind w:start="720"/>
      <w:contextualSpacing/>
    </w:pPr>
    <w:rPr/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 w:customStyle="1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df2a4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df2a4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60b59"/>
    <w:pPr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aireCar"/>
    <w:uiPriority w:val="99"/>
    <w:semiHidden/>
    <w:unhideWhenUsed/>
    <w:rsid w:val="007a7597"/>
    <w:pPr/>
    <w:rPr/>
  </w:style>
  <w:style w:type="paragraph" w:styleId="annotationsubject">
    <w:name w:val="annotation subject"/>
    <w:basedOn w:val="CommentText"/>
    <w:next w:val="CommentText"/>
    <w:link w:val="ObjetducommentaireCar"/>
    <w:uiPriority w:val="99"/>
    <w:semiHidden/>
    <w:unhideWhenUsed/>
    <w:qFormat/>
    <w:rsid w:val="007a7597"/>
    <w:pPr/>
    <w:rPr>
      <w:b/>
      <w:bCs/>
    </w:rPr>
  </w:style>
  <w:style w:type="paragraph" w:styleId="Contenudecadreuser" w:customStyle="1">
    <w:name w:val="Contenu de cadre (user)"/>
    <w:basedOn w:val="Normal"/>
    <w:qFormat/>
    <w:pPr/>
    <w:rPr/>
  </w:style>
  <w:style w:type="paragraph" w:styleId="Contenudecadre" w:customStyle="1">
    <w:name w:val="Contenu de cadre"/>
    <w:basedOn w:val="Normal"/>
    <w:qFormat/>
    <w:pPr/>
    <w:rPr/>
  </w:style>
  <w:style w:type="paragraph" w:styleId="Contenudelisteuser" w:customStyle="1">
    <w:name w:val="Contenu de liste (user)"/>
    <w:basedOn w:val="Normal"/>
    <w:qFormat/>
    <w:pPr>
      <w:ind w:start="567"/>
    </w:pPr>
    <w:rPr/>
  </w:style>
  <w:style w:type="numbering" w:styleId="Pasdeliste" w:customStyle="1">
    <w:name w:val="Pas de liste"/>
    <w:uiPriority w:val="99"/>
    <w:semiHidden/>
    <w:unhideWhenUsed/>
    <w:qFormat/>
  </w:style>
  <w:style w:type="numbering" w:styleId="Pasdelisteuser" w:customStyle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0c107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10C4B-19D0-4D06-80EE-9A5BD178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Application>Collabora_Office/25.04.12.3$Linux_X86_64 LibreOffice_project/3c660808fe24a96283bda12f73c6405d49b49654</Application>
  <AppVersion>15.0000</AppVersion>
  <Pages>2</Pages>
  <Words>448</Words>
  <Characters>2680</Characters>
  <CharactersWithSpaces>3072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2026-06-01T16:46:00Z</dcterms:created>
  <dc:creator>jsalles</dc:creator>
  <dc:description/>
  <dc:language>fr-FR</dc:language>
  <cp:lastModifiedBy>Serge MOUTON</cp:lastModifiedBy>
  <cp:lastPrinted>2025-06-17T14:32:00Z</cp:lastPrinted>
  <dcterms:modified xsi:type="dcterms:W3CDTF">2026-06-12T13:00:00Z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