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sz w:val="16"/>
          <w:szCs w:val="16"/>
        </w:rPr>
      </w:pPr>
      <w:r>
        <mc:AlternateContent>
          <mc:Choice Requires="wps">
            <w:drawing>
              <wp:anchor distT="40005" distB="62230" distL="109220" distR="127635" simplePos="0" relativeHeight="9" behindDoc="0" locked="0" layoutInCell="0" allowOverlap="1" wp14:anchorId="0322E77E">
                <wp:simplePos x="0" y="0"/>
                <wp:positionH relativeFrom="margin">
                  <wp:posOffset>379730</wp:posOffset>
                </wp:positionH>
                <wp:positionV relativeFrom="paragraph">
                  <wp:posOffset>635</wp:posOffset>
                </wp:positionV>
                <wp:extent cx="4400550" cy="615950"/>
                <wp:effectExtent l="5080" t="5080" r="5080" b="5080"/>
                <wp:wrapSquare wrapText="bothSides"/>
                <wp:docPr id="1" name="Zone de text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00640" cy="615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user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>Lettre de mission</w:t>
                            </w:r>
                          </w:p>
                          <w:p>
                            <w:pPr>
                              <w:pStyle w:val="Contenudecadreuser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« Interlocuteur Académique pour le Numérique »</w:t>
                            </w:r>
                          </w:p>
                          <w:p>
                            <w:pPr>
                              <w:pStyle w:val="Contenudecadreuser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Année scolaire 2026-2027</w:t>
                            </w:r>
                          </w:p>
                        </w:txbxContent>
                      </wps:txbx>
                      <wps:bodyPr anchor="t">
                        <a:spAutoFit/>
                      </wps:bodyPr>
                    </wps:wsp>
                  </a:graphicData>
                </a:graphic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rect id="shape_0" fillcolor="white" stroked="t" o:allowincell="f" style="position:absolute;margin-left:29.9pt;margin-top:0.05pt;width:346.45pt;height:48.45pt;mso-wrap-style:square;v-text-anchor:top;mso-position-horizontal-relative:margin" wp14:anchorId="0322E77E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nudecadreuser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  <w:szCs w:val="24"/>
                        </w:rPr>
                        <w:t>Lettre de mission</w:t>
                      </w:r>
                    </w:p>
                    <w:p>
                      <w:pPr>
                        <w:pStyle w:val="Contenudecadreuser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« Interlocuteur Académique pour le Numérique »</w:t>
                      </w:r>
                    </w:p>
                    <w:p>
                      <w:pPr>
                        <w:pStyle w:val="Contenudecadreuser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Année scolaire 2026-2027</w:t>
                      </w:r>
                    </w:p>
                  </w:txbxContent>
                </v:textbox>
                <w10:wrap type="square"/>
              </v:rect>
            </w:pict>
          </mc:Fallback>
        </mc:AlternateContent>
        <w:drawing>
          <wp:anchor distT="0" distB="0" distL="114300" distR="114300" simplePos="0" relativeHeight="11" behindDoc="0" locked="0" layoutInCell="0" allowOverlap="1">
            <wp:simplePos x="0" y="0"/>
            <wp:positionH relativeFrom="column">
              <wp:posOffset>-1682115</wp:posOffset>
            </wp:positionH>
            <wp:positionV relativeFrom="paragraph">
              <wp:posOffset>635</wp:posOffset>
            </wp:positionV>
            <wp:extent cx="1682115" cy="925830"/>
            <wp:effectExtent l="0" t="0" r="0" b="0"/>
            <wp:wrapThrough wrapText="bothSides">
              <wp:wrapPolygon edited="0">
                <wp:start x="-2" y="0"/>
                <wp:lineTo x="-2" y="21343"/>
                <wp:lineTo x="21288" y="21343"/>
                <wp:lineTo x="21288" y="0"/>
                <wp:lineTo x="-2" y="0"/>
              </wp:wrapPolygon>
            </wp:wrapThrough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115" cy="925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sz w:val="16"/>
          <w:szCs w:val="16"/>
        </w:rPr>
        <w:t>Sous la double responsabilité</w:t>
      </w:r>
      <w:r>
        <w:rPr>
          <w:sz w:val="16"/>
          <w:szCs w:val="16"/>
        </w:rPr>
        <w:t xml:space="preserve"> :</w:t>
      </w:r>
    </w:p>
    <w:p>
      <w:pPr>
        <w:pStyle w:val="Normal"/>
        <w:numPr>
          <w:ilvl w:val="0"/>
          <w:numId w:val="2"/>
        </w:numPr>
        <w:ind w:hanging="357" w:start="714"/>
        <w:rPr>
          <w:sz w:val="16"/>
          <w:szCs w:val="16"/>
        </w:rPr>
      </w:pPr>
      <w:r>
        <mc:AlternateContent>
          <mc:Choice Requires="wps">
            <w:drawing>
              <wp:anchor distT="0" distB="0" distL="0" distR="0" simplePos="0" relativeHeight="7" behindDoc="0" locked="0" layoutInCell="1" allowOverlap="1" wp14:anchorId="11FF9DA6">
                <wp:simplePos x="0" y="0"/>
                <wp:positionH relativeFrom="column">
                  <wp:posOffset>-1482725</wp:posOffset>
                </wp:positionH>
                <wp:positionV relativeFrom="paragraph">
                  <wp:posOffset>95885</wp:posOffset>
                </wp:positionV>
                <wp:extent cx="1210945" cy="3031490"/>
                <wp:effectExtent l="0" t="0" r="0" b="0"/>
                <wp:wrapNone/>
                <wp:docPr id="3" name="Text Box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1040" cy="3031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Heading5"/>
                              <w:spacing w:lineRule="exact" w:line="180" w:before="0" w:after="0"/>
                              <w:jc w:val="end"/>
                              <w:rPr>
                                <w:rFonts w:ascii="Arial Narrow" w:hAnsi="Arial Narrow"/>
                                <w:i w:val="false"/>
                                <w:iCs w:val="fals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i w:val="false"/>
                                <w:iCs w:val="false"/>
                                <w:color w:val="000000"/>
                                <w:sz w:val="18"/>
                                <w:szCs w:val="18"/>
                              </w:rPr>
                              <w:t>DRANE</w:t>
                            </w:r>
                          </w:p>
                          <w:p>
                            <w:pPr>
                              <w:pStyle w:val="Contenudecadreuser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00"/>
                                <w:sz w:val="18"/>
                                <w:szCs w:val="18"/>
                              </w:rPr>
                            </w:r>
                          </w:p>
                          <w:p>
                            <w:pPr>
                              <w:pStyle w:val="Contenudecadreuser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00"/>
                                <w:sz w:val="18"/>
                                <w:szCs w:val="18"/>
                              </w:rPr>
                            </w:r>
                          </w:p>
                          <w:p>
                            <w:pPr>
                              <w:pStyle w:val="Contenudecadreuser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0000"/>
                                <w:sz w:val="18"/>
                                <w:szCs w:val="18"/>
                              </w:rPr>
                              <w:t xml:space="preserve">Délégation de </w:t>
                            </w:r>
                          </w:p>
                          <w:p>
                            <w:pPr>
                              <w:pStyle w:val="Contenudecadreuser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0000"/>
                                <w:sz w:val="18"/>
                                <w:szCs w:val="18"/>
                              </w:rPr>
                              <w:t xml:space="preserve">Région Académique </w:t>
                            </w:r>
                          </w:p>
                          <w:p>
                            <w:pPr>
                              <w:pStyle w:val="Contenudecadreuser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0000"/>
                                <w:sz w:val="18"/>
                                <w:szCs w:val="18"/>
                              </w:rPr>
                              <w:t>au Numérique</w:t>
                            </w:r>
                          </w:p>
                          <w:p>
                            <w:pPr>
                              <w:pStyle w:val="Contenudecadreuser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0000"/>
                                <w:sz w:val="18"/>
                                <w:szCs w:val="18"/>
                              </w:rPr>
                              <w:t>pour l’Éducation</w:t>
                            </w:r>
                          </w:p>
                          <w:p>
                            <w:pPr>
                              <w:pStyle w:val="Contenudecadreuser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00"/>
                                <w:sz w:val="18"/>
                                <w:szCs w:val="18"/>
                              </w:rPr>
                            </w:r>
                          </w:p>
                          <w:p>
                            <w:pPr>
                              <w:pStyle w:val="Contenudecadreuser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00"/>
                                <w:sz w:val="18"/>
                                <w:szCs w:val="18"/>
                              </w:rPr>
                              <w:t>Affaire suivie par :</w:t>
                            </w:r>
                          </w:p>
                          <w:p>
                            <w:pPr>
                              <w:pStyle w:val="Contenudecadreuser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00"/>
                                <w:sz w:val="18"/>
                                <w:szCs w:val="18"/>
                              </w:rPr>
                              <w:t>Guillaume Allemann</w:t>
                            </w:r>
                          </w:p>
                          <w:p>
                            <w:pPr>
                              <w:pStyle w:val="Contenudecadreuser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00"/>
                                <w:sz w:val="18"/>
                                <w:szCs w:val="18"/>
                              </w:rPr>
                              <w:t>DRANE</w:t>
                            </w:r>
                          </w:p>
                          <w:p>
                            <w:pPr>
                              <w:pStyle w:val="Contenudecadreuser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00"/>
                                <w:sz w:val="18"/>
                                <w:szCs w:val="18"/>
                              </w:rPr>
                              <w:t>guillaume.allemann@ac-guyane.fr</w:t>
                            </w:r>
                          </w:p>
                          <w:p>
                            <w:pPr>
                              <w:pStyle w:val="Contenudecadreuser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00"/>
                                <w:sz w:val="18"/>
                                <w:szCs w:val="18"/>
                              </w:rPr>
                            </w:r>
                          </w:p>
                          <w:p>
                            <w:pPr>
                              <w:pStyle w:val="Contenudecadreuser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00"/>
                                <w:sz w:val="18"/>
                                <w:szCs w:val="18"/>
                              </w:rPr>
                            </w:r>
                          </w:p>
                          <w:p>
                            <w:pPr>
                              <w:pStyle w:val="Contenudecadreuser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0000"/>
                                <w:sz w:val="18"/>
                                <w:szCs w:val="18"/>
                              </w:rPr>
                              <w:t>BP 6011</w:t>
                            </w:r>
                          </w:p>
                          <w:p>
                            <w:pPr>
                              <w:pStyle w:val="Contenudecadreuser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0000"/>
                                <w:sz w:val="18"/>
                                <w:szCs w:val="18"/>
                              </w:rPr>
                              <w:t>97306 CAYENNE Cedex</w:t>
                            </w:r>
                          </w:p>
                          <w:p>
                            <w:pPr>
                              <w:pStyle w:val="Contenudecadreuser"/>
                              <w:spacing w:lineRule="exact" w:line="210"/>
                              <w:jc w:val="end"/>
                              <w:rPr>
                                <w:rFonts w:ascii="Arial Narrow" w:hAnsi="Arial Narrow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Cs/>
                                <w:color w:val="000000"/>
                                <w:sz w:val="18"/>
                                <w:szCs w:val="18"/>
                              </w:rPr>
                            </w:r>
                          </w:p>
                          <w:p>
                            <w:pPr>
                              <w:pStyle w:val="Contenudecadreuser"/>
                              <w:spacing w:lineRule="exact" w:line="210"/>
                              <w:jc w:val="end"/>
                              <w:rPr>
                                <w:rFonts w:ascii="Arial Narrow" w:hAnsi="Arial Narrow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Cs/>
                                <w:color w:val="000000"/>
                                <w:sz w:val="18"/>
                                <w:szCs w:val="18"/>
                              </w:rPr>
                            </w:r>
                          </w:p>
                          <w:p>
                            <w:pPr>
                              <w:pStyle w:val="Contenudecadreuser"/>
                              <w:spacing w:lineRule="exact" w:line="210"/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bookmarkStart w:id="0" w:name="_Hlk177449684"/>
                            <w:r>
                              <w:rPr>
                                <w:rFonts w:ascii="Arial Narrow" w:hAnsi="Arial Narrow"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>
                              <w:rPr>
                                <w:rFonts w:ascii="Arial Narrow" w:hAnsi="Arial Narrow"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Réf.       2026-27/</w:t>
                            </w:r>
                            <w:bookmarkEnd w:id="0"/>
                            <w:r>
                              <w:rPr>
                                <w:rFonts w:ascii="Arial Narrow" w:hAnsi="Arial Narrow"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GA</w:t>
                            </w:r>
                          </w:p>
                          <w:p>
                            <w:pPr>
                              <w:pStyle w:val="Contenudecadreuser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0000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ontenudecadreuser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0000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ontenudecadreuser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0000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ontenudecadreuser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0000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ontenudecadreuser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Cs/>
                                <w:color w:val="000000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ontenudecadreuser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Cs/>
                                <w:color w:val="000000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ontenudecadreuser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Cs/>
                                <w:color w:val="000000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ontenudecadreuser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Cs/>
                                <w:color w:val="000000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Contenudecadreuser"/>
                              <w:spacing w:lineRule="exact" w:line="180"/>
                              <w:jc w:val="end"/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Réf. :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z w:val="16"/>
                                <w:szCs w:val="16"/>
                              </w:rPr>
                              <w:t>11 // J-F.S.</w:t>
                            </w:r>
                          </w:p>
                          <w:p>
                            <w:pPr>
                              <w:pStyle w:val="Contenudecadreuser"/>
                              <w:spacing w:lineRule="exact" w:line="210"/>
                              <w:jc w:val="end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f" o:allowincell="f" style="position:absolute;margin-left:-116.75pt;margin-top:7.55pt;width:95.3pt;height:238.65pt;mso-wrap-style:square;v-text-anchor:top" wp14:anchorId="11FF9DA6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Heading5"/>
                        <w:spacing w:lineRule="exact" w:line="180" w:before="0" w:after="0"/>
                        <w:jc w:val="end"/>
                        <w:rPr>
                          <w:rFonts w:ascii="Arial Narrow" w:hAnsi="Arial Narrow"/>
                          <w:i w:val="false"/>
                          <w:iCs w:val="false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i w:val="false"/>
                          <w:iCs w:val="false"/>
                          <w:color w:val="000000"/>
                          <w:sz w:val="18"/>
                          <w:szCs w:val="18"/>
                        </w:rPr>
                        <w:t>DRANE</w:t>
                      </w:r>
                    </w:p>
                    <w:p>
                      <w:pPr>
                        <w:pStyle w:val="Contenudecadreuser"/>
                        <w:spacing w:lineRule="exact" w:line="180"/>
                        <w:jc w:val="end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color w:val="000000"/>
                          <w:sz w:val="18"/>
                          <w:szCs w:val="18"/>
                        </w:rPr>
                      </w:r>
                    </w:p>
                    <w:p>
                      <w:pPr>
                        <w:pStyle w:val="Contenudecadreuser"/>
                        <w:spacing w:lineRule="exact" w:line="180"/>
                        <w:jc w:val="end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color w:val="000000"/>
                          <w:sz w:val="18"/>
                          <w:szCs w:val="18"/>
                        </w:rPr>
                      </w:r>
                    </w:p>
                    <w:p>
                      <w:pPr>
                        <w:pStyle w:val="Contenudecadreuser"/>
                        <w:spacing w:lineRule="exact" w:line="180"/>
                        <w:jc w:val="end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000000"/>
                          <w:sz w:val="18"/>
                          <w:szCs w:val="18"/>
                        </w:rPr>
                        <w:t xml:space="preserve">Délégation de </w:t>
                      </w:r>
                    </w:p>
                    <w:p>
                      <w:pPr>
                        <w:pStyle w:val="Contenudecadreuser"/>
                        <w:spacing w:lineRule="exact" w:line="180"/>
                        <w:jc w:val="end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000000"/>
                          <w:sz w:val="18"/>
                          <w:szCs w:val="18"/>
                        </w:rPr>
                        <w:t xml:space="preserve">Région Académique </w:t>
                      </w:r>
                    </w:p>
                    <w:p>
                      <w:pPr>
                        <w:pStyle w:val="Contenudecadreuser"/>
                        <w:spacing w:lineRule="exact" w:line="180"/>
                        <w:jc w:val="end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000000"/>
                          <w:sz w:val="18"/>
                          <w:szCs w:val="18"/>
                        </w:rPr>
                        <w:t>au Numérique</w:t>
                      </w:r>
                    </w:p>
                    <w:p>
                      <w:pPr>
                        <w:pStyle w:val="Contenudecadreuser"/>
                        <w:spacing w:lineRule="exact" w:line="180"/>
                        <w:jc w:val="end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000000"/>
                          <w:sz w:val="18"/>
                          <w:szCs w:val="18"/>
                        </w:rPr>
                        <w:t>pour l’Éducation</w:t>
                      </w:r>
                    </w:p>
                    <w:p>
                      <w:pPr>
                        <w:pStyle w:val="Contenudecadreuser"/>
                        <w:spacing w:lineRule="exact" w:line="180"/>
                        <w:jc w:val="end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color w:val="000000"/>
                          <w:sz w:val="18"/>
                          <w:szCs w:val="18"/>
                        </w:rPr>
                      </w:r>
                    </w:p>
                    <w:p>
                      <w:pPr>
                        <w:pStyle w:val="Contenudecadreuser"/>
                        <w:spacing w:lineRule="exact" w:line="180"/>
                        <w:jc w:val="end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color w:val="000000"/>
                          <w:sz w:val="18"/>
                          <w:szCs w:val="18"/>
                        </w:rPr>
                        <w:t>Affaire suivie par :</w:t>
                      </w:r>
                    </w:p>
                    <w:p>
                      <w:pPr>
                        <w:pStyle w:val="Contenudecadreuser"/>
                        <w:spacing w:lineRule="exact" w:line="180"/>
                        <w:jc w:val="end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color w:val="000000"/>
                          <w:sz w:val="18"/>
                          <w:szCs w:val="18"/>
                        </w:rPr>
                        <w:t>Guillaume Allemann</w:t>
                      </w:r>
                    </w:p>
                    <w:p>
                      <w:pPr>
                        <w:pStyle w:val="Contenudecadreuser"/>
                        <w:spacing w:lineRule="exact" w:line="180"/>
                        <w:jc w:val="end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color w:val="000000"/>
                          <w:sz w:val="18"/>
                          <w:szCs w:val="18"/>
                        </w:rPr>
                        <w:t>DRANE</w:t>
                      </w:r>
                    </w:p>
                    <w:p>
                      <w:pPr>
                        <w:pStyle w:val="Contenudecadreuser"/>
                        <w:spacing w:lineRule="exact" w:line="180"/>
                        <w:jc w:val="end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color w:val="000000"/>
                          <w:sz w:val="18"/>
                          <w:szCs w:val="18"/>
                        </w:rPr>
                        <w:t>guillaume.allemann@ac-guyane.fr</w:t>
                      </w:r>
                    </w:p>
                    <w:p>
                      <w:pPr>
                        <w:pStyle w:val="Contenudecadreuser"/>
                        <w:spacing w:lineRule="exact" w:line="180"/>
                        <w:jc w:val="end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color w:val="000000"/>
                          <w:sz w:val="18"/>
                          <w:szCs w:val="18"/>
                        </w:rPr>
                      </w:r>
                    </w:p>
                    <w:p>
                      <w:pPr>
                        <w:pStyle w:val="Contenudecadreuser"/>
                        <w:spacing w:lineRule="exact" w:line="180"/>
                        <w:jc w:val="end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color w:val="000000"/>
                          <w:sz w:val="18"/>
                          <w:szCs w:val="18"/>
                        </w:rPr>
                      </w:r>
                    </w:p>
                    <w:p>
                      <w:pPr>
                        <w:pStyle w:val="Contenudecadreuser"/>
                        <w:spacing w:lineRule="exact" w:line="180"/>
                        <w:jc w:val="end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000000"/>
                          <w:sz w:val="18"/>
                          <w:szCs w:val="18"/>
                        </w:rPr>
                        <w:t>BP 6011</w:t>
                      </w:r>
                    </w:p>
                    <w:p>
                      <w:pPr>
                        <w:pStyle w:val="Contenudecadreuser"/>
                        <w:spacing w:lineRule="exact" w:line="180"/>
                        <w:jc w:val="end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000000"/>
                          <w:sz w:val="18"/>
                          <w:szCs w:val="18"/>
                        </w:rPr>
                        <w:t>97306 CAYENNE Cedex</w:t>
                      </w:r>
                    </w:p>
                    <w:p>
                      <w:pPr>
                        <w:pStyle w:val="Contenudecadreuser"/>
                        <w:spacing w:lineRule="exact" w:line="210"/>
                        <w:jc w:val="end"/>
                        <w:rPr>
                          <w:rFonts w:ascii="Arial Narrow" w:hAnsi="Arial Narrow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bCs/>
                          <w:color w:val="000000"/>
                          <w:sz w:val="18"/>
                          <w:szCs w:val="18"/>
                        </w:rPr>
                      </w:r>
                    </w:p>
                    <w:p>
                      <w:pPr>
                        <w:pStyle w:val="Contenudecadreuser"/>
                        <w:spacing w:lineRule="exact" w:line="210"/>
                        <w:jc w:val="end"/>
                        <w:rPr>
                          <w:rFonts w:ascii="Arial Narrow" w:hAnsi="Arial Narrow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bCs/>
                          <w:color w:val="000000"/>
                          <w:sz w:val="18"/>
                          <w:szCs w:val="18"/>
                        </w:rPr>
                      </w:r>
                    </w:p>
                    <w:p>
                      <w:pPr>
                        <w:pStyle w:val="Contenudecadreuser"/>
                        <w:spacing w:lineRule="exact" w:line="210"/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bookmarkStart w:id="1" w:name="_Hlk177449684"/>
                      <w:r>
                        <w:rPr>
                          <w:rFonts w:ascii="Arial Narrow" w:hAnsi="Arial Narrow"/>
                          <w:bCs/>
                          <w:color w:val="000000"/>
                          <w:sz w:val="18"/>
                          <w:szCs w:val="18"/>
                        </w:rPr>
                        <w:t xml:space="preserve">        </w:t>
                      </w:r>
                      <w:r>
                        <w:rPr>
                          <w:rFonts w:ascii="Arial Narrow" w:hAnsi="Arial Narrow"/>
                          <w:bCs/>
                          <w:color w:val="000000"/>
                          <w:sz w:val="16"/>
                          <w:szCs w:val="16"/>
                        </w:rPr>
                        <w:t>Réf.       2026-27/</w:t>
                      </w:r>
                      <w:bookmarkEnd w:id="1"/>
                      <w:r>
                        <w:rPr>
                          <w:rFonts w:ascii="Arial Narrow" w:hAnsi="Arial Narrow"/>
                          <w:bCs/>
                          <w:color w:val="000000"/>
                          <w:sz w:val="16"/>
                          <w:szCs w:val="16"/>
                        </w:rPr>
                        <w:t>GA</w:t>
                      </w:r>
                    </w:p>
                    <w:p>
                      <w:pPr>
                        <w:pStyle w:val="Contenudecadreuser"/>
                        <w:spacing w:lineRule="exact" w:line="180"/>
                        <w:jc w:val="end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000000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ontenudecadreuser"/>
                        <w:spacing w:lineRule="exact" w:line="180"/>
                        <w:jc w:val="end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000000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ontenudecadreuser"/>
                        <w:spacing w:lineRule="exact" w:line="180"/>
                        <w:jc w:val="end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000000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ontenudecadreuser"/>
                        <w:spacing w:lineRule="exact" w:line="180"/>
                        <w:jc w:val="end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000000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ontenudecadreuser"/>
                        <w:spacing w:lineRule="exact" w:line="180"/>
                        <w:jc w:val="end"/>
                        <w:rPr>
                          <w:rFonts w:ascii="Arial Narrow" w:hAnsi="Arial Narrow"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bCs/>
                          <w:color w:val="000000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ontenudecadreuser"/>
                        <w:spacing w:lineRule="exact" w:line="180"/>
                        <w:jc w:val="end"/>
                        <w:rPr>
                          <w:rFonts w:ascii="Arial Narrow" w:hAnsi="Arial Narrow"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bCs/>
                          <w:color w:val="000000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ontenudecadreuser"/>
                        <w:spacing w:lineRule="exact" w:line="180"/>
                        <w:jc w:val="end"/>
                        <w:rPr>
                          <w:rFonts w:ascii="Arial Narrow" w:hAnsi="Arial Narrow"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bCs/>
                          <w:color w:val="000000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ontenudecadreuser"/>
                        <w:spacing w:lineRule="exact" w:line="180"/>
                        <w:jc w:val="end"/>
                        <w:rPr>
                          <w:rFonts w:ascii="Arial Narrow" w:hAnsi="Arial Narrow"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bCs/>
                          <w:color w:val="000000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Contenudecadreuser"/>
                        <w:spacing w:lineRule="exact" w:line="180"/>
                        <w:jc w:val="end"/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bCs/>
                          <w:color w:val="000000"/>
                          <w:sz w:val="16"/>
                          <w:szCs w:val="16"/>
                        </w:rPr>
                        <w:t>Réf. :</w:t>
                      </w:r>
                      <w:r>
                        <w:rPr>
                          <w:rFonts w:ascii="Arial Narrow" w:hAnsi="Arial Narrow"/>
                          <w:color w:val="000000"/>
                          <w:sz w:val="16"/>
                          <w:szCs w:val="16"/>
                        </w:rPr>
                        <w:t>11 // J-F.S.</w:t>
                      </w:r>
                    </w:p>
                    <w:p>
                      <w:pPr>
                        <w:pStyle w:val="Contenudecadreuser"/>
                        <w:spacing w:lineRule="exact" w:line="210"/>
                        <w:jc w:val="end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sz w:val="16"/>
          <w:szCs w:val="16"/>
        </w:rPr>
        <w:t>De l’inspecteur pédagogique de sa discipline,</w:t>
      </w:r>
    </w:p>
    <w:p>
      <w:pPr>
        <w:pStyle w:val="Normal"/>
        <w:numPr>
          <w:ilvl w:val="0"/>
          <w:numId w:val="2"/>
        </w:numPr>
        <w:spacing w:before="0" w:afterAutospacing="1"/>
        <w:rPr>
          <w:sz w:val="16"/>
          <w:szCs w:val="16"/>
        </w:rPr>
      </w:pPr>
      <w:r>
        <w:rPr>
          <w:sz w:val="16"/>
          <w:szCs w:val="16"/>
        </w:rPr>
        <w:t>Du délégué de région académique au numérique pour l’éducation (DRANE).</w:t>
      </w:r>
    </w:p>
    <w:p>
      <w:pPr>
        <w:pStyle w:val="Normal"/>
        <w:rPr>
          <w:sz w:val="16"/>
          <w:szCs w:val="16"/>
        </w:rPr>
      </w:pPr>
      <w:r>
        <w:rPr>
          <w:b/>
          <w:bCs/>
          <w:sz w:val="16"/>
          <w:szCs w:val="16"/>
        </w:rPr>
        <w:t>En collaboration avec</w:t>
      </w:r>
      <w:r>
        <w:rPr>
          <w:sz w:val="16"/>
          <w:szCs w:val="16"/>
        </w:rPr>
        <w:t xml:space="preserve"> :</w:t>
      </w:r>
    </w:p>
    <w:p>
      <w:pPr>
        <w:pStyle w:val="Normal"/>
        <w:numPr>
          <w:ilvl w:val="0"/>
          <w:numId w:val="3"/>
        </w:numPr>
        <w:ind w:hanging="357" w:start="714"/>
        <w:rPr>
          <w:sz w:val="16"/>
          <w:szCs w:val="16"/>
        </w:rPr>
      </w:pPr>
      <w:r>
        <w:rPr>
          <w:sz w:val="16"/>
          <w:szCs w:val="16"/>
        </w:rPr>
        <w:t xml:space="preserve">Les </w:t>
      </w:r>
      <w:r>
        <w:rPr>
          <w:b/>
          <w:bCs/>
          <w:sz w:val="16"/>
          <w:szCs w:val="16"/>
        </w:rPr>
        <w:t>Référents pour les Usages Pédagogiques Numériques (RUPN)</w:t>
      </w:r>
      <w:r>
        <w:rPr>
          <w:sz w:val="16"/>
          <w:szCs w:val="16"/>
        </w:rPr>
        <w:t xml:space="preserve"> des établissements,</w:t>
      </w:r>
    </w:p>
    <w:p>
      <w:pPr>
        <w:pStyle w:val="Normal"/>
        <w:numPr>
          <w:ilvl w:val="0"/>
          <w:numId w:val="3"/>
        </w:numPr>
        <w:ind w:hanging="357" w:start="714"/>
        <w:rPr>
          <w:sz w:val="16"/>
          <w:szCs w:val="16"/>
        </w:rPr>
      </w:pPr>
      <w:r>
        <w:rPr>
          <w:sz w:val="16"/>
          <w:szCs w:val="16"/>
        </w:rPr>
        <w:t xml:space="preserve">La </w:t>
      </w:r>
      <w:r>
        <w:rPr>
          <w:b/>
          <w:bCs/>
          <w:sz w:val="16"/>
          <w:szCs w:val="16"/>
        </w:rPr>
        <w:t>Délégation Régionale Académique au Numérique pour l’Éducation (DRANE)</w:t>
      </w:r>
      <w:r>
        <w:rPr>
          <w:sz w:val="16"/>
          <w:szCs w:val="16"/>
        </w:rPr>
        <w:t>.</w:t>
      </w:r>
    </w:p>
    <w:p>
      <w:pPr>
        <w:pStyle w:val="Normal"/>
        <w:rPr>
          <w:b/>
          <w:bCs/>
          <w:sz w:val="16"/>
          <w:szCs w:val="16"/>
        </w:rPr>
      </w:pPr>
      <w:r>
        <w:rPr/>
        <mc:AlternateContent>
          <mc:Choice Requires="wps">
            <w:drawing>
              <wp:inline distT="0" distB="0" distL="0" distR="0" wp14:anchorId="078932F8">
                <wp:extent cx="5129530" cy="19050"/>
                <wp:effectExtent l="0" t="0" r="0" b="0"/>
                <wp:docPr id="4" name="Forme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2964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fillcolor="#a0a0a0" stroked="f" o:allowincell="t" style="width:403.85pt;height:1.45pt;mso-wrap-style:none;v-text-anchor:middle" wp14:anchorId="078932F8"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>
      <w:pPr>
        <w:pStyle w:val="Normal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Normal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Contexte et objectifs</w:t>
      </w:r>
    </w:p>
    <w:p>
      <w:pPr>
        <w:pStyle w:val="Normal"/>
        <w:spacing w:beforeAutospacing="1" w:afterAutospacing="1"/>
        <w:rPr>
          <w:sz w:val="16"/>
          <w:szCs w:val="16"/>
        </w:rPr>
      </w:pPr>
      <w:r>
        <w:rPr>
          <w:sz w:val="16"/>
          <w:szCs w:val="16"/>
        </w:rPr>
        <w:t>La mission d’</w:t>
      </w:r>
      <w:r>
        <w:rPr>
          <w:b/>
          <w:bCs/>
          <w:sz w:val="16"/>
          <w:szCs w:val="16"/>
        </w:rPr>
        <w:t>Interlocuteur Académique pour le Numérique (IAN)</w:t>
      </w:r>
      <w:r>
        <w:rPr>
          <w:sz w:val="16"/>
          <w:szCs w:val="16"/>
        </w:rPr>
        <w:t xml:space="preserve"> s’inscrit dans la </w:t>
      </w:r>
      <w:r>
        <w:rPr>
          <w:b/>
          <w:bCs/>
          <w:sz w:val="16"/>
          <w:szCs w:val="16"/>
        </w:rPr>
        <w:t>stratégie nationale et académique pour le numérique éducatif</w:t>
      </w:r>
      <w:r>
        <w:rPr>
          <w:sz w:val="16"/>
          <w:szCs w:val="16"/>
        </w:rPr>
        <w:t>. Elle vise à :</w:t>
      </w:r>
    </w:p>
    <w:p>
      <w:pPr>
        <w:pStyle w:val="Normal"/>
        <w:numPr>
          <w:ilvl w:val="0"/>
          <w:numId w:val="4"/>
        </w:numPr>
        <w:spacing w:beforeAutospacing="1" w:after="0"/>
        <w:rPr>
          <w:sz w:val="16"/>
          <w:szCs w:val="16"/>
        </w:rPr>
      </w:pPr>
      <w:r>
        <w:rPr>
          <w:b/>
          <w:bCs/>
          <w:sz w:val="16"/>
          <w:szCs w:val="16"/>
        </w:rPr>
        <w:t>Porter les orientations du numérique éducatif</w:t>
      </w:r>
      <w:r>
        <w:rPr>
          <w:sz w:val="16"/>
          <w:szCs w:val="16"/>
        </w:rPr>
        <w:t xml:space="preserve"> au sein de sa discipline, en déclinant la </w:t>
      </w:r>
      <w:r>
        <w:rPr>
          <w:b/>
          <w:bCs/>
          <w:sz w:val="16"/>
          <w:szCs w:val="16"/>
        </w:rPr>
        <w:t>feuille de route académique</w:t>
      </w:r>
      <w:r>
        <w:rPr>
          <w:sz w:val="16"/>
          <w:szCs w:val="16"/>
        </w:rPr>
        <w:t>.</w:t>
      </w:r>
    </w:p>
    <w:p>
      <w:pPr>
        <w:pStyle w:val="Normal"/>
        <w:numPr>
          <w:ilvl w:val="0"/>
          <w:numId w:val="4"/>
        </w:numPr>
        <w:spacing w:before="0" w:after="0"/>
        <w:rPr>
          <w:sz w:val="16"/>
          <w:szCs w:val="16"/>
        </w:rPr>
      </w:pPr>
      <w:r>
        <w:rPr>
          <w:b/>
          <w:bCs/>
          <w:sz w:val="16"/>
          <w:szCs w:val="16"/>
        </w:rPr>
        <w:t>Accompagner les enseignants</w:t>
      </w:r>
      <w:r>
        <w:rPr>
          <w:sz w:val="16"/>
          <w:szCs w:val="16"/>
        </w:rPr>
        <w:t xml:space="preserve"> dans l’intégration des outils et ressources numériques, en lien avec les </w:t>
      </w:r>
      <w:r>
        <w:rPr>
          <w:b/>
          <w:bCs/>
          <w:sz w:val="16"/>
          <w:szCs w:val="16"/>
        </w:rPr>
        <w:t>Cadres de Référence des Compétences Numériques (CRCN &amp; CRCN edu)</w:t>
      </w:r>
      <w:r>
        <w:rPr>
          <w:sz w:val="16"/>
          <w:szCs w:val="16"/>
        </w:rPr>
        <w:t>.</w:t>
      </w:r>
    </w:p>
    <w:p>
      <w:pPr>
        <w:pStyle w:val="Normal"/>
        <w:numPr>
          <w:ilvl w:val="0"/>
          <w:numId w:val="4"/>
        </w:numPr>
        <w:spacing w:before="0" w:afterAutospacing="1"/>
        <w:rPr>
          <w:sz w:val="16"/>
          <w:szCs w:val="16"/>
        </w:rPr>
      </w:pPr>
      <w:r>
        <w:rPr>
          <w:b/>
          <w:bCs/>
          <w:sz w:val="16"/>
          <w:szCs w:val="16"/>
        </w:rPr>
        <w:t>Collaborer avec les RUPN</w:t>
      </w:r>
      <w:r>
        <w:rPr>
          <w:sz w:val="16"/>
          <w:szCs w:val="16"/>
        </w:rPr>
        <w:t xml:space="preserve"> pour assurer une </w:t>
      </w:r>
      <w:r>
        <w:rPr>
          <w:b/>
          <w:bCs/>
          <w:sz w:val="16"/>
          <w:szCs w:val="16"/>
        </w:rPr>
        <w:t>cohérence entre les usages disciplinaires et les projets d’établissement</w:t>
      </w:r>
      <w:r>
        <w:rPr>
          <w:sz w:val="16"/>
          <w:szCs w:val="16"/>
        </w:rPr>
        <w:t>.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L’IAN agit en </w:t>
      </w:r>
      <w:r>
        <w:rPr>
          <w:b/>
          <w:bCs/>
          <w:sz w:val="16"/>
          <w:szCs w:val="16"/>
        </w:rPr>
        <w:t>complémentarité avec les RUPN</w:t>
      </w:r>
      <w:r>
        <w:rPr>
          <w:sz w:val="16"/>
          <w:szCs w:val="16"/>
        </w:rPr>
        <w:t xml:space="preserve">, qui interviennent au niveau des établissements, pour garantir une </w:t>
      </w:r>
      <w:r>
        <w:rPr>
          <w:b/>
          <w:bCs/>
          <w:sz w:val="16"/>
          <w:szCs w:val="16"/>
        </w:rPr>
        <w:t>approche à la fois disciplinaire et transversale</w:t>
      </w:r>
      <w:r>
        <w:rPr>
          <w:sz w:val="16"/>
          <w:szCs w:val="16"/>
        </w:rPr>
        <w:t xml:space="preserve"> du numérique éducatif.</w:t>
      </w:r>
    </w:p>
    <w:p>
      <w:pPr>
        <w:pStyle w:val="Normal"/>
        <w:rPr>
          <w:b/>
          <w:bCs/>
          <w:sz w:val="16"/>
          <w:szCs w:val="16"/>
        </w:rPr>
      </w:pPr>
      <w:r>
        <w:rPr/>
        <mc:AlternateContent>
          <mc:Choice Requires="wps">
            <w:drawing>
              <wp:inline distT="0" distB="0" distL="0" distR="0" wp14:anchorId="66CFB0C7">
                <wp:extent cx="5129530" cy="19050"/>
                <wp:effectExtent l="0" t="0" r="0" b="0"/>
                <wp:docPr id="5" name="Forme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2964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fillcolor="#a0a0a0" stroked="f" o:allowincell="t" style="width:403.85pt;height:1.45pt;mso-wrap-style:none;v-text-anchor:middle" wp14:anchorId="66CFB0C7"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>
      <w:pPr>
        <w:pStyle w:val="Normal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Normal"/>
        <w:rPr>
          <w:sz w:val="16"/>
          <w:szCs w:val="16"/>
        </w:rPr>
      </w:pPr>
      <w:r>
        <w:rPr>
          <w:b/>
          <w:bCs/>
          <w:sz w:val="16"/>
          <w:szCs w:val="16"/>
        </w:rPr>
        <w:t>Missions détaillées</w:t>
        <w:br/>
      </w:r>
    </w:p>
    <w:p>
      <w:pPr>
        <w:pStyle w:val="ListParagraph"/>
        <w:numPr>
          <w:ilvl w:val="0"/>
          <w:numId w:val="6"/>
        </w:numPr>
        <w:outlineLvl w:val="3"/>
        <w:rPr>
          <w:b/>
          <w:bCs/>
          <w:sz w:val="16"/>
          <w:szCs w:val="16"/>
          <w:u w:val="single"/>
        </w:rPr>
      </w:pPr>
      <w:r>
        <w:rPr>
          <w:b/>
          <w:bCs/>
          <w:sz w:val="16"/>
          <w:szCs w:val="16"/>
          <w:u w:val="single"/>
        </w:rPr>
        <w:t>Partie socle numérique éducatif</w:t>
      </w:r>
    </w:p>
    <w:p>
      <w:pPr>
        <w:pStyle w:val="ListParagraph"/>
        <w:numPr>
          <w:ilvl w:val="0"/>
          <w:numId w:val="0"/>
        </w:numPr>
        <w:ind w:start="720"/>
        <w:outlineLvl w:val="3"/>
        <w:rPr>
          <w:b/>
          <w:bCs/>
          <w:sz w:val="16"/>
          <w:szCs w:val="16"/>
          <w:u w:val="single"/>
        </w:rPr>
      </w:pPr>
      <w:r>
        <w:rPr>
          <w:b/>
          <w:bCs/>
          <w:sz w:val="16"/>
          <w:szCs w:val="16"/>
          <w:u w:val="single"/>
        </w:rPr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Cette partie vise à renforcer les </w:t>
      </w:r>
      <w:r>
        <w:rPr>
          <w:b/>
          <w:bCs/>
          <w:sz w:val="16"/>
          <w:szCs w:val="16"/>
        </w:rPr>
        <w:t>compétences numériques transversales</w:t>
      </w:r>
      <w:r>
        <w:rPr>
          <w:sz w:val="16"/>
          <w:szCs w:val="16"/>
        </w:rPr>
        <w:t xml:space="preserve"> et à accompagner les enseignants dans leur montée en compétences.</w:t>
      </w:r>
    </w:p>
    <w:tbl>
      <w:tblPr>
        <w:tblW w:w="8073" w:type="dxa"/>
        <w:jc w:val="start"/>
        <w:tblInd w:w="0" w:type="dxa"/>
        <w:tblLayout w:type="fixed"/>
        <w:tblCellMar>
          <w:top w:w="15" w:type="dxa"/>
          <w:start w:w="15" w:type="dxa"/>
          <w:bottom w:w="15" w:type="dxa"/>
          <w:end w:w="15" w:type="dxa"/>
        </w:tblCellMar>
        <w:tblLook w:noHBand="0" w:noVBand="1" w:firstColumn="1" w:lastRow="0" w:lastColumn="0" w:firstRow="1" w:val="04a0"/>
      </w:tblPr>
      <w:tblGrid>
        <w:gridCol w:w="1549"/>
        <w:gridCol w:w="3185"/>
        <w:gridCol w:w="3339"/>
      </w:tblGrid>
      <w:tr>
        <w:trPr>
          <w:tblHeader w:val="true"/>
        </w:trPr>
        <w:tc>
          <w:tcPr>
            <w:tcW w:w="1549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Axe</w:t>
            </w:r>
          </w:p>
        </w:tc>
        <w:tc>
          <w:tcPr>
            <w:tcW w:w="318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Actions</w:t>
            </w:r>
          </w:p>
        </w:tc>
        <w:tc>
          <w:tcPr>
            <w:tcW w:w="3339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Articulation avec le RUPN</w:t>
            </w:r>
          </w:p>
        </w:tc>
      </w:tr>
      <w:tr>
        <w:trPr/>
        <w:tc>
          <w:tcPr>
            <w:tcW w:w="154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Formation des pairs</w:t>
            </w:r>
          </w:p>
        </w:tc>
        <w:tc>
          <w:tcPr>
            <w:tcW w:w="3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Assurer la </w:t>
            </w:r>
            <w:r>
              <w:rPr>
                <w:b/>
                <w:bCs/>
                <w:sz w:val="16"/>
                <w:szCs w:val="16"/>
              </w:rPr>
              <w:t>formation au numérique éducatif</w:t>
            </w:r>
            <w:r>
              <w:rPr>
                <w:sz w:val="16"/>
                <w:szCs w:val="16"/>
              </w:rPr>
              <w:t xml:space="preserve"> des enseignants de sa discipline, en lien avec le </w:t>
            </w:r>
            <w:r>
              <w:rPr>
                <w:b/>
                <w:bCs/>
                <w:sz w:val="16"/>
                <w:szCs w:val="16"/>
              </w:rPr>
              <w:t>CRCN edu</w:t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Accompagner les équipes pédagogiques dans les </w:t>
            </w:r>
            <w:r>
              <w:rPr>
                <w:b/>
                <w:bCs/>
                <w:sz w:val="16"/>
                <w:szCs w:val="16"/>
              </w:rPr>
              <w:t>usages innovants</w:t>
            </w:r>
            <w:r>
              <w:rPr>
                <w:sz w:val="16"/>
                <w:szCs w:val="16"/>
              </w:rPr>
              <w:t xml:space="preserve"> notamment en déployant en 2026-27 les usages des TNI.</w:t>
            </w:r>
          </w:p>
        </w:tc>
        <w:tc>
          <w:tcPr>
            <w:tcW w:w="33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Partager les ressources</w:t>
            </w:r>
            <w:r>
              <w:rPr>
                <w:sz w:val="16"/>
                <w:szCs w:val="16"/>
              </w:rPr>
              <w:t xml:space="preserve"> avec les RUPN de la discipline pour qu’ils puissent les adapter et aux besoins locaux des établissements. Former les RUPN de la discipline à l’usage du TNI.</w:t>
            </w:r>
          </w:p>
        </w:tc>
      </w:tr>
      <w:tr>
        <w:trPr/>
        <w:tc>
          <w:tcPr>
            <w:tcW w:w="154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Auto-positionnement</w:t>
            </w:r>
          </w:p>
        </w:tc>
        <w:tc>
          <w:tcPr>
            <w:tcW w:w="3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S’auto-positionner sur </w:t>
            </w:r>
            <w:r>
              <w:rPr>
                <w:b/>
                <w:bCs/>
                <w:sz w:val="16"/>
                <w:szCs w:val="16"/>
              </w:rPr>
              <w:t>l’ensemble des parcours PIX+EDU</w:t>
            </w:r>
            <w:r>
              <w:rPr>
                <w:sz w:val="16"/>
                <w:szCs w:val="16"/>
              </w:rPr>
              <w:t xml:space="preserve"> (pour les IAN en poste depuis 2 ans).</w:t>
            </w:r>
          </w:p>
        </w:tc>
        <w:tc>
          <w:tcPr>
            <w:tcW w:w="33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Encourager les RUPN de la discipline à </w:t>
            </w:r>
            <w:r>
              <w:rPr>
                <w:b/>
                <w:bCs/>
                <w:sz w:val="16"/>
                <w:szCs w:val="16"/>
              </w:rPr>
              <w:t>promouvoir PIX+EDU</w:t>
            </w:r>
            <w:r>
              <w:rPr>
                <w:sz w:val="16"/>
                <w:szCs w:val="16"/>
              </w:rPr>
              <w:t xml:space="preserve"> auprès des enseignants de leur établissement.</w:t>
            </w:r>
          </w:p>
        </w:tc>
      </w:tr>
      <w:tr>
        <w:trPr/>
        <w:tc>
          <w:tcPr>
            <w:tcW w:w="1549" w:type="dxa"/>
            <w:tcBorders>
              <w:top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Regroupement académique</w:t>
            </w:r>
          </w:p>
        </w:tc>
        <w:tc>
          <w:tcPr>
            <w:tcW w:w="3185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Participer aux </w:t>
            </w:r>
            <w:r>
              <w:rPr>
                <w:b/>
                <w:bCs/>
                <w:sz w:val="16"/>
                <w:szCs w:val="16"/>
              </w:rPr>
              <w:t>journées académiques de regroupement des IAN</w:t>
            </w:r>
            <w:r>
              <w:rPr>
                <w:sz w:val="16"/>
                <w:szCs w:val="16"/>
              </w:rPr>
              <w:t>, ou journées de formation « DRANE » et au séminaire inter-degré.</w:t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339" w:type="dxa"/>
            <w:tcBorders>
              <w:top w:val="single" w:sz="4" w:space="0" w:color="000000"/>
              <w:start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Relayer les informations</w:t>
            </w:r>
            <w:r>
              <w:rPr>
                <w:sz w:val="16"/>
                <w:szCs w:val="16"/>
              </w:rPr>
              <w:t xml:space="preserve"> issues de ces instances aux RUPN de la discipline pour une diffusion au niveau des établissements.</w:t>
            </w:r>
          </w:p>
        </w:tc>
      </w:tr>
    </w:tbl>
    <w:p>
      <w:pPr>
        <w:pStyle w:val="Normal"/>
        <w:rPr>
          <w:sz w:val="16"/>
          <w:szCs w:val="16"/>
        </w:rPr>
      </w:pPr>
      <w:r>
        <w:rPr/>
        <mc:AlternateContent>
          <mc:Choice Requires="wps">
            <w:drawing>
              <wp:inline distT="0" distB="0" distL="0" distR="0" wp14:anchorId="2E85C5BB">
                <wp:extent cx="635" cy="19050"/>
                <wp:effectExtent l="0" t="0" r="0" b="0"/>
                <wp:docPr id="6" name="Forme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fillcolor="#a0a0a0" stroked="f" o:allowincell="t" style="width:0pt;height:1.45pt;mso-wrap-style:none;v-text-anchor:middle" wp14:anchorId="2E85C5BB"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>
      <w:pPr>
        <w:pStyle w:val="ListParagraph"/>
        <w:numPr>
          <w:ilvl w:val="0"/>
          <w:numId w:val="6"/>
        </w:numPr>
        <w:rPr>
          <w:b/>
          <w:bCs/>
          <w:sz w:val="16"/>
          <w:szCs w:val="16"/>
          <w:u w:val="single"/>
        </w:rPr>
      </w:pPr>
      <w:r>
        <w:rPr>
          <w:b/>
          <w:bCs/>
          <w:sz w:val="16"/>
          <w:szCs w:val="16"/>
          <w:u w:val="single"/>
        </w:rPr>
        <w:t>Partie disciplinaire numérique éducatif</w:t>
      </w:r>
    </w:p>
    <w:p>
      <w:pPr>
        <w:pStyle w:val="ListParagraph"/>
        <w:rPr>
          <w:b/>
          <w:bCs/>
          <w:sz w:val="16"/>
          <w:szCs w:val="16"/>
          <w:u w:val="single"/>
        </w:rPr>
      </w:pPr>
      <w:r>
        <w:rPr>
          <w:b/>
          <w:bCs/>
          <w:sz w:val="16"/>
          <w:szCs w:val="16"/>
          <w:u w:val="single"/>
        </w:rPr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Cette partie vise à </w:t>
      </w:r>
      <w:r>
        <w:rPr>
          <w:b/>
          <w:bCs/>
          <w:sz w:val="16"/>
          <w:szCs w:val="16"/>
        </w:rPr>
        <w:t>décliner les orientations académiques</w:t>
      </w:r>
      <w:r>
        <w:rPr>
          <w:sz w:val="16"/>
          <w:szCs w:val="16"/>
        </w:rPr>
        <w:t xml:space="preserve"> dans la discipline et à </w:t>
      </w:r>
      <w:r>
        <w:rPr>
          <w:b/>
          <w:bCs/>
          <w:sz w:val="16"/>
          <w:szCs w:val="16"/>
        </w:rPr>
        <w:t>produire des ressources spécifiques</w:t>
      </w:r>
      <w:r>
        <w:rPr>
          <w:sz w:val="16"/>
          <w:szCs w:val="16"/>
        </w:rPr>
        <w:t>.</w:t>
      </w:r>
    </w:p>
    <w:tbl>
      <w:tblPr>
        <w:tblW w:w="8073" w:type="dxa"/>
        <w:jc w:val="start"/>
        <w:tblInd w:w="0" w:type="dxa"/>
        <w:tblLayout w:type="fixed"/>
        <w:tblCellMar>
          <w:top w:w="15" w:type="dxa"/>
          <w:start w:w="15" w:type="dxa"/>
          <w:bottom w:w="15" w:type="dxa"/>
          <w:end w:w="15" w:type="dxa"/>
        </w:tblCellMar>
        <w:tblLook w:noHBand="0" w:noVBand="1" w:firstColumn="1" w:lastRow="0" w:lastColumn="0" w:firstRow="1" w:val="04a0"/>
      </w:tblPr>
      <w:tblGrid>
        <w:gridCol w:w="1332"/>
        <w:gridCol w:w="4101"/>
        <w:gridCol w:w="2640"/>
      </w:tblGrid>
      <w:tr>
        <w:trPr>
          <w:tblHeader w:val="true"/>
        </w:trPr>
        <w:tc>
          <w:tcPr>
            <w:tcW w:w="133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Axe</w:t>
            </w:r>
          </w:p>
        </w:tc>
        <w:tc>
          <w:tcPr>
            <w:tcW w:w="410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Actions</w:t>
            </w:r>
          </w:p>
        </w:tc>
        <w:tc>
          <w:tcPr>
            <w:tcW w:w="2640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Articulation avec le RUPN</w:t>
            </w:r>
          </w:p>
        </w:tc>
      </w:tr>
      <w:tr>
        <w:trPr/>
        <w:tc>
          <w:tcPr>
            <w:tcW w:w="133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Formations disciplinaires</w:t>
            </w:r>
          </w:p>
        </w:tc>
        <w:tc>
          <w:tcPr>
            <w:tcW w:w="41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Assurer des </w:t>
            </w:r>
            <w:r>
              <w:rPr>
                <w:b/>
                <w:bCs/>
                <w:sz w:val="16"/>
                <w:szCs w:val="16"/>
              </w:rPr>
              <w:t>formations numériques académiques disciplinaires</w:t>
            </w:r>
            <w:r>
              <w:rPr>
                <w:sz w:val="16"/>
                <w:szCs w:val="16"/>
              </w:rPr>
              <w:t xml:space="preserve"> pour garantir le déploiement des usages de l’</w:t>
            </w:r>
            <w:r>
              <w:rPr>
                <w:b/>
                <w:bCs/>
                <w:sz w:val="16"/>
                <w:szCs w:val="16"/>
              </w:rPr>
              <w:t>IAG</w:t>
            </w:r>
            <w:r>
              <w:rPr>
                <w:sz w:val="16"/>
                <w:szCs w:val="16"/>
              </w:rPr>
              <w:t xml:space="preserve"> et d’autres outils innovants.</w:t>
            </w:r>
          </w:p>
        </w:tc>
        <w:tc>
          <w:tcPr>
            <w:tcW w:w="2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Promouvoir les formations</w:t>
            </w:r>
            <w:r>
              <w:rPr>
                <w:sz w:val="16"/>
                <w:szCs w:val="16"/>
              </w:rPr>
              <w:t xml:space="preserve"> auprès des RUPN de la discipline.</w:t>
            </w:r>
          </w:p>
        </w:tc>
      </w:tr>
      <w:tr>
        <w:trPr/>
        <w:tc>
          <w:tcPr>
            <w:tcW w:w="133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Production de ressources</w:t>
            </w:r>
          </w:p>
        </w:tc>
        <w:tc>
          <w:tcPr>
            <w:tcW w:w="41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Produire un </w:t>
            </w:r>
            <w:r>
              <w:rPr>
                <w:b/>
                <w:bCs/>
                <w:sz w:val="16"/>
                <w:szCs w:val="16"/>
              </w:rPr>
              <w:t>parcours disciplinaire sur la plateforme ELEA</w:t>
            </w:r>
            <w:r>
              <w:rPr>
                <w:sz w:val="16"/>
                <w:szCs w:val="16"/>
              </w:rPr>
              <w:t xml:space="preserve">, en veillant à son référencement dans </w:t>
            </w:r>
            <w:r>
              <w:rPr>
                <w:b/>
                <w:bCs/>
                <w:sz w:val="16"/>
                <w:szCs w:val="16"/>
              </w:rPr>
              <w:t>ÉduBase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Partager les parcours ELEA sur les réseaux des concepteurs et </w:t>
            </w:r>
            <w:r>
              <w:rPr>
                <w:sz w:val="16"/>
                <w:szCs w:val="16"/>
              </w:rPr>
              <w:t>aux RUPN de la discipline pour qu’ils puissent les diffuser dans leur établissement.</w:t>
            </w:r>
          </w:p>
        </w:tc>
      </w:tr>
      <w:tr>
        <w:trPr/>
        <w:tc>
          <w:tcPr>
            <w:tcW w:w="1332" w:type="dxa"/>
            <w:tcBorders>
              <w:top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Veille et innovation</w:t>
            </w:r>
          </w:p>
        </w:tc>
        <w:tc>
          <w:tcPr>
            <w:tcW w:w="410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Développer des </w:t>
            </w:r>
            <w:r>
              <w:rPr>
                <w:b/>
                <w:bCs/>
                <w:sz w:val="16"/>
                <w:szCs w:val="16"/>
              </w:rPr>
              <w:t>communautés de pratiques disciplinaires</w:t>
            </w:r>
            <w:r>
              <w:rPr>
                <w:sz w:val="16"/>
                <w:szCs w:val="16"/>
              </w:rPr>
              <w:t xml:space="preserve">. </w:t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Identifier et promouvoir des </w:t>
            </w:r>
            <w:r>
              <w:rPr>
                <w:b/>
                <w:bCs/>
                <w:sz w:val="16"/>
                <w:szCs w:val="16"/>
              </w:rPr>
              <w:t>usages disciplinaires innovants</w:t>
            </w:r>
            <w:r>
              <w:rPr>
                <w:sz w:val="16"/>
                <w:szCs w:val="16"/>
              </w:rPr>
              <w:t xml:space="preserve"> du numérique (ex : outils spécifiques, scénarios pédagogiques).</w:t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Expérimenter et évaluer de nouveaux outils.</w:t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Représenter sa discipline lors de </w:t>
            </w:r>
            <w:r>
              <w:rPr>
                <w:b/>
                <w:bCs/>
                <w:sz w:val="16"/>
                <w:szCs w:val="16"/>
              </w:rPr>
              <w:t>manifestations académiques ou nationales</w:t>
            </w:r>
            <w:r>
              <w:rPr>
                <w:sz w:val="16"/>
                <w:szCs w:val="16"/>
              </w:rPr>
              <w:t xml:space="preserve"> (séminaires, etc.).</w:t>
            </w:r>
          </w:p>
        </w:tc>
        <w:tc>
          <w:tcPr>
            <w:tcW w:w="2640" w:type="dxa"/>
            <w:tcBorders>
              <w:top w:val="single" w:sz="4" w:space="0" w:color="000000"/>
              <w:start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Partager les retours d’expérience</w:t>
            </w:r>
            <w:r>
              <w:rPr>
                <w:sz w:val="16"/>
                <w:szCs w:val="16"/>
              </w:rPr>
              <w:t xml:space="preserve"> avec les RUPN de la discipline pour qu’ils puissent les adapter à leur contexte local.</w:t>
            </w:r>
          </w:p>
        </w:tc>
      </w:tr>
    </w:tbl>
    <w:p>
      <w:pPr>
        <w:pStyle w:val="Normal"/>
        <w:rPr>
          <w:b/>
          <w:bCs/>
          <w:sz w:val="16"/>
          <w:szCs w:val="16"/>
        </w:rPr>
      </w:pPr>
      <w:r>
        <w:rPr/>
        <mc:AlternateContent>
          <mc:Choice Requires="wps">
            <w:drawing>
              <wp:inline distT="0" distB="0" distL="0" distR="0" wp14:anchorId="4B7151D0">
                <wp:extent cx="635" cy="19050"/>
                <wp:effectExtent l="0" t="0" r="0" b="0"/>
                <wp:docPr id="7" name="Forme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fillcolor="#a0a0a0" stroked="f" o:allowincell="t" style="width:0pt;height:1.45pt;mso-wrap-style:none;v-text-anchor:middle" wp14:anchorId="4B7151D0"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>
      <w:pPr>
        <w:pStyle w:val="Normal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ListParagraph"/>
        <w:numPr>
          <w:ilvl w:val="0"/>
          <w:numId w:val="6"/>
        </w:numPr>
        <w:rPr>
          <w:b/>
          <w:bCs/>
          <w:sz w:val="16"/>
          <w:szCs w:val="16"/>
          <w:u w:val="single"/>
        </w:rPr>
      </w:pPr>
      <w:r>
        <w:rPr>
          <w:b/>
          <w:bCs/>
          <w:sz w:val="16"/>
          <w:szCs w:val="16"/>
          <w:u w:val="single"/>
        </w:rPr>
        <w:t>Articulation avec les RUPN</w:t>
      </w:r>
    </w:p>
    <w:p>
      <w:pPr>
        <w:pStyle w:val="Normal"/>
        <w:spacing w:beforeAutospacing="1" w:after="0"/>
        <w:rPr>
          <w:sz w:val="16"/>
          <w:szCs w:val="16"/>
        </w:rPr>
      </w:pPr>
      <w:r>
        <w:rPr>
          <w:sz w:val="16"/>
          <w:szCs w:val="16"/>
        </w:rPr>
        <w:t xml:space="preserve">Pour assurer une </w:t>
      </w:r>
      <w:r>
        <w:rPr>
          <w:b/>
          <w:bCs/>
          <w:sz w:val="16"/>
          <w:szCs w:val="16"/>
        </w:rPr>
        <w:t>cohérence entre les actions académiques et les établissements</w:t>
      </w:r>
      <w:r>
        <w:rPr>
          <w:sz w:val="16"/>
          <w:szCs w:val="16"/>
        </w:rPr>
        <w:t xml:space="preserve">, l’IAN s’engage à : </w:t>
      </w:r>
    </w:p>
    <w:p>
      <w:pPr>
        <w:pStyle w:val="ListParagraph"/>
        <w:numPr>
          <w:ilvl w:val="0"/>
          <w:numId w:val="7"/>
        </w:numPr>
        <w:spacing w:beforeAutospacing="1" w:after="0"/>
        <w:contextualSpacing/>
        <w:rPr>
          <w:sz w:val="16"/>
          <w:szCs w:val="16"/>
        </w:rPr>
      </w:pPr>
      <w:r>
        <w:rPr>
          <w:b/>
          <w:bCs/>
          <w:sz w:val="16"/>
          <w:szCs w:val="16"/>
        </w:rPr>
        <w:t>Organiser des temps d’échange réguliers</w:t>
      </w:r>
      <w:r>
        <w:rPr>
          <w:sz w:val="16"/>
          <w:szCs w:val="16"/>
        </w:rPr>
        <w:t xml:space="preserve"> avec les RUPN de sa discipline afin de proposer des modules disciplinaires pour compléter les formations générales organisées par les RUPN ; </w:t>
      </w:r>
    </w:p>
    <w:p>
      <w:pPr>
        <w:pStyle w:val="ListParagraph"/>
        <w:numPr>
          <w:ilvl w:val="0"/>
          <w:numId w:val="7"/>
        </w:numPr>
        <w:spacing w:before="0" w:after="0"/>
        <w:contextualSpacing/>
        <w:rPr>
          <w:sz w:val="16"/>
          <w:szCs w:val="16"/>
        </w:rPr>
      </w:pPr>
      <w:r>
        <w:rPr>
          <w:b/>
          <w:bCs/>
          <w:sz w:val="16"/>
          <w:szCs w:val="16"/>
        </w:rPr>
        <w:t>Accompagner</w:t>
      </w:r>
      <w:r>
        <w:rPr>
          <w:sz w:val="16"/>
          <w:szCs w:val="16"/>
        </w:rPr>
        <w:t xml:space="preserve"> les RUPN de sa discipline dans la mise en œuvre des FIL.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b/>
          <w:bCs/>
          <w:sz w:val="16"/>
          <w:szCs w:val="16"/>
        </w:rPr>
      </w:pPr>
      <w:r>
        <w:rPr/>
        <mc:AlternateContent>
          <mc:Choice Requires="wps">
            <w:drawing>
              <wp:inline distT="0" distB="0" distL="0" distR="0" wp14:anchorId="56FF66B1">
                <wp:extent cx="5129530" cy="19050"/>
                <wp:effectExtent l="0" t="0" r="0" b="0"/>
                <wp:docPr id="8" name="Forme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2964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fillcolor="#a0a0a0" stroked="f" o:allowincell="t" style="width:403.85pt;height:1.45pt;mso-wrap-style:none;v-text-anchor:middle" wp14:anchorId="56FF66B1">
                <v:fill o:detectmouseclick="t" type="solid" color2="#5f5f5f"/>
                <v:stroke color="#3465a4" joinstyle="round" endcap="flat"/>
              </v:rect>
            </w:pict>
          </mc:Fallback>
        </mc:AlternateContent>
      </w:r>
      <w:bookmarkStart w:id="2" w:name="_Hlk231285768"/>
    </w:p>
    <w:p>
      <w:pPr>
        <w:pStyle w:val="Normal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Normal"/>
        <w:rPr>
          <w:sz w:val="16"/>
          <w:szCs w:val="16"/>
        </w:rPr>
      </w:pPr>
      <w:r>
        <w:rPr>
          <w:b/>
          <w:bCs/>
          <w:sz w:val="16"/>
          <w:szCs w:val="16"/>
        </w:rPr>
        <w:t>Évaluation et reconnaissance</w:t>
      </w:r>
      <w:bookmarkEnd w:id="2"/>
    </w:p>
    <w:p>
      <w:pPr>
        <w:pStyle w:val="Normal"/>
        <w:numPr>
          <w:ilvl w:val="0"/>
          <w:numId w:val="5"/>
        </w:numPr>
        <w:spacing w:beforeAutospacing="1" w:after="0"/>
        <w:rPr>
          <w:sz w:val="16"/>
          <w:szCs w:val="16"/>
        </w:rPr>
      </w:pPr>
      <w:bookmarkStart w:id="3" w:name="_Hlk231285803"/>
      <w:r>
        <w:rPr>
          <w:b/>
          <w:bCs/>
          <w:sz w:val="16"/>
          <w:szCs w:val="16"/>
        </w:rPr>
        <w:t>Bilan annuel</w:t>
      </w:r>
      <w:r>
        <w:rPr>
          <w:sz w:val="16"/>
          <w:szCs w:val="16"/>
        </w:rPr>
        <w:t xml:space="preserve"> : </w:t>
      </w:r>
    </w:p>
    <w:p>
      <w:pPr>
        <w:pStyle w:val="Normal"/>
        <w:numPr>
          <w:ilvl w:val="1"/>
          <w:numId w:val="5"/>
        </w:numPr>
        <w:spacing w:before="0" w:after="0"/>
        <w:rPr>
          <w:sz w:val="16"/>
          <w:szCs w:val="16"/>
        </w:rPr>
      </w:pPr>
      <w:r>
        <w:rPr>
          <w:sz w:val="16"/>
          <w:szCs w:val="16"/>
        </w:rPr>
        <w:t xml:space="preserve">Renseigner </w:t>
      </w:r>
      <w:r>
        <w:rPr>
          <w:b/>
          <w:bCs/>
          <w:sz w:val="16"/>
          <w:szCs w:val="16"/>
        </w:rPr>
        <w:t>avant mi-mai</w:t>
      </w:r>
      <w:r>
        <w:rPr>
          <w:sz w:val="16"/>
          <w:szCs w:val="16"/>
        </w:rPr>
        <w:t xml:space="preserve"> un </w:t>
      </w:r>
      <w:r>
        <w:rPr>
          <w:b/>
          <w:bCs/>
          <w:sz w:val="16"/>
          <w:szCs w:val="16"/>
        </w:rPr>
        <w:t>formulaire en ligne</w:t>
      </w:r>
      <w:r>
        <w:rPr>
          <w:sz w:val="16"/>
          <w:szCs w:val="16"/>
        </w:rPr>
        <w:t xml:space="preserve"> (rapport d’activité) précisant les activités menées au regard de cette lettre de mission.</w:t>
      </w:r>
      <w:bookmarkEnd w:id="3"/>
    </w:p>
    <w:p>
      <w:pPr>
        <w:pStyle w:val="Normal"/>
        <w:numPr>
          <w:ilvl w:val="0"/>
          <w:numId w:val="5"/>
        </w:numPr>
        <w:rPr>
          <w:sz w:val="16"/>
          <w:szCs w:val="16"/>
        </w:rPr>
      </w:pPr>
      <w:r>
        <w:rPr>
          <w:b/>
          <w:bCs/>
          <w:sz w:val="16"/>
          <w:szCs w:val="16"/>
        </w:rPr>
        <w:t>Indemnisation</w:t>
      </w:r>
      <w:r>
        <w:rPr>
          <w:sz w:val="16"/>
          <w:szCs w:val="16"/>
        </w:rPr>
        <w:t xml:space="preserve"> : </w:t>
      </w:r>
    </w:p>
    <w:p>
      <w:pPr>
        <w:pStyle w:val="Normal"/>
        <w:numPr>
          <w:ilvl w:val="1"/>
          <w:numId w:val="5"/>
        </w:numPr>
        <w:spacing w:before="0" w:afterAutospacing="1"/>
        <w:rPr>
          <w:sz w:val="16"/>
          <w:szCs w:val="16"/>
        </w:rPr>
      </w:pPr>
      <w:r>
        <w:rPr>
          <w:sz w:val="16"/>
          <w:szCs w:val="16"/>
        </w:rPr>
        <w:t xml:space="preserve">L’IAN bénéficiera d’une </w:t>
      </w:r>
      <w:r>
        <w:rPr>
          <w:b/>
          <w:bCs/>
          <w:sz w:val="16"/>
          <w:szCs w:val="16"/>
        </w:rPr>
        <w:t>indemnité pour mission particulière (IMP)</w:t>
      </w:r>
      <w:r>
        <w:rPr>
          <w:sz w:val="16"/>
          <w:szCs w:val="16"/>
        </w:rPr>
        <w:t xml:space="preserve">, </w:t>
      </w:r>
      <w:bookmarkStart w:id="4" w:name="_Hlk231285969"/>
      <w:r>
        <w:rPr>
          <w:sz w:val="16"/>
          <w:szCs w:val="16"/>
        </w:rPr>
        <w:t>en fonction des informations renseignées dans le rapport d’activité</w:t>
      </w:r>
      <w:bookmarkEnd w:id="4"/>
      <w:r>
        <w:rPr>
          <w:sz w:val="16"/>
          <w:szCs w:val="16"/>
        </w:rPr>
        <w:t>.</w:t>
      </w:r>
    </w:p>
    <w:p>
      <w:pPr>
        <w:pStyle w:val="Normal"/>
        <w:spacing w:lineRule="auto" w:line="360" w:before="0" w:after="120"/>
        <w:ind w:start="142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Fait à Cayenne, le </w:t>
      </w:r>
      <w:r>
        <w:rPr>
          <w:sz w:val="16"/>
          <w:szCs w:val="16"/>
        </w:rPr>
        <w:fldChar w:fldCharType="begin"/>
      </w:r>
      <w:r>
        <w:rPr>
          <w:sz w:val="16"/>
          <w:szCs w:val="16"/>
        </w:rPr>
        <w:instrText xml:space="preserve"> DATE \@"dd\/MM\/yyyy" </w:instrText>
      </w:r>
      <w:r>
        <w:rPr>
          <w:sz w:val="16"/>
          <w:szCs w:val="16"/>
        </w:rPr>
        <w:fldChar w:fldCharType="separate"/>
      </w:r>
      <w:r>
        <w:rPr>
          <w:sz w:val="16"/>
          <w:szCs w:val="16"/>
        </w:rPr>
        <w:t>29/09/2026</w:t>
      </w:r>
      <w:r>
        <w:rPr>
          <w:sz w:val="16"/>
          <w:szCs w:val="16"/>
        </w:rPr>
        <w:fldChar w:fldCharType="end"/>
      </w:r>
    </w:p>
    <w:tbl>
      <w:tblPr>
        <w:tblStyle w:val="Grilledutableau"/>
        <w:tblW w:w="7376" w:type="dxa"/>
        <w:jc w:val="start"/>
        <w:tblInd w:w="14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2687"/>
        <w:gridCol w:w="2552"/>
        <w:gridCol w:w="2137"/>
      </w:tblGrid>
      <w:tr>
        <w:trPr/>
        <w:tc>
          <w:tcPr>
            <w:tcW w:w="2687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120"/>
              <w:ind w:start="142"/>
              <w:jc w:val="center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fr-FR" w:bidi="ar-SA"/>
              </w:rPr>
              <w:t>L’Interlocuteur Académique pour le Numérique</w:t>
            </w:r>
          </w:p>
          <w:p>
            <w:pPr>
              <w:pStyle w:val="Normal"/>
              <w:widowControl/>
              <w:suppressAutoHyphens w:val="true"/>
              <w:spacing w:lineRule="auto" w:line="360" w:before="0" w:after="120"/>
              <w:ind w:start="142"/>
              <w:jc w:val="star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fr-FR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360" w:before="0" w:after="120"/>
              <w:ind w:start="142"/>
              <w:jc w:val="center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fr-FR" w:bidi="ar-SA"/>
              </w:rPr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120"/>
              <w:ind w:start="142"/>
              <w:jc w:val="center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fr-FR" w:bidi="ar-SA"/>
              </w:rPr>
              <w:t>L’Inspection</w:t>
            </w:r>
          </w:p>
        </w:tc>
        <w:tc>
          <w:tcPr>
            <w:tcW w:w="2137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120"/>
              <w:jc w:val="center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fr-FR" w:bidi="ar-SA"/>
              </w:rPr>
              <w:t>Le Recteur</w:t>
            </w:r>
          </w:p>
        </w:tc>
      </w:tr>
      <w:tr>
        <w:trPr/>
        <w:tc>
          <w:tcPr>
            <w:tcW w:w="2687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120"/>
              <w:ind w:start="142"/>
              <w:jc w:val="center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fr-FR" w:bidi="ar-SA"/>
              </w:rPr>
              <w:t>Prénom Nom</w:t>
            </w:r>
          </w:p>
        </w:tc>
        <w:tc>
          <w:tcPr>
            <w:tcW w:w="2552" w:type="dxa"/>
            <w:tcBorders/>
            <w:vAlign w:val="bottom"/>
          </w:tcPr>
          <w:p>
            <w:pPr>
              <w:pStyle w:val="Normal"/>
              <w:widowControl/>
              <w:suppressAutoHyphens w:val="true"/>
              <w:spacing w:lineRule="auto" w:line="360" w:before="0" w:after="120"/>
              <w:ind w:start="142"/>
              <w:jc w:val="center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fr-FR" w:bidi="ar-SA"/>
              </w:rPr>
              <w:t>Prénom Nom</w:t>
            </w:r>
          </w:p>
        </w:tc>
        <w:tc>
          <w:tcPr>
            <w:tcW w:w="2137" w:type="dxa"/>
            <w:tcBorders/>
            <w:vAlign w:val="bottom"/>
          </w:tcPr>
          <w:p>
            <w:pPr>
              <w:pStyle w:val="Normal"/>
              <w:widowControl/>
              <w:suppressAutoHyphens w:val="true"/>
              <w:spacing w:lineRule="auto" w:line="360" w:before="0" w:after="120"/>
              <w:jc w:val="center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fr-FR" w:bidi="ar-SA"/>
              </w:rPr>
              <w:t>Prénom Nom</w:t>
            </w:r>
          </w:p>
        </w:tc>
      </w:tr>
    </w:tbl>
    <w:p>
      <w:pPr>
        <w:pStyle w:val="Normal"/>
        <w:spacing w:lineRule="auto" w:line="360" w:before="0" w:after="120"/>
        <w:ind w:start="142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spacing w:lineRule="auto" w:line="360" w:before="0" w:after="120"/>
        <w:ind w:start="142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lineRule="auto" w:line="360" w:before="0" w:after="120"/>
        <w:ind w:start="142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lineRule="auto" w:line="360" w:before="0" w:after="120"/>
        <w:ind w:start="142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lineRule="auto" w:line="360" w:before="0" w:after="120"/>
        <w:ind w:start="142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lineRule="auto" w:line="360" w:before="0" w:after="120"/>
        <w:ind w:start="142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lineRule="auto" w:line="360" w:before="0" w:after="120"/>
        <w:ind w:start="142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lineRule="auto" w:line="360" w:before="0" w:after="120"/>
        <w:ind w:start="142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lineRule="auto" w:line="360" w:before="0" w:after="120"/>
        <w:ind w:start="142"/>
        <w:jc w:val="both"/>
        <w:rPr>
          <w:sz w:val="18"/>
          <w:szCs w:val="18"/>
        </w:rPr>
      </w:pPr>
      <w:r>
        <w:rPr>
          <w:sz w:val="18"/>
          <w:szCs w:val="18"/>
        </w:rPr>
      </w:r>
    </w:p>
    <w:sectPr>
      <w:type w:val="nextPage"/>
      <w:pgSz w:w="11906" w:h="16838"/>
      <w:pgMar w:left="2977" w:right="851" w:gutter="0" w:header="0" w:top="851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swiss"/>
    <w:pitch w:val="variable"/>
  </w:font>
  <w:font w:name="Cambria">
    <w:charset w:val="01"/>
    <w:family w:val="swiss"/>
    <w:pitch w:val="variable"/>
  </w:font>
  <w:font w:name="Arial Narrow">
    <w:charset w:val="01"/>
    <w:family w:val="swiss"/>
    <w:pitch w:val="variable"/>
  </w:font>
  <w:font w:name="Lucida Grande">
    <w:charset w:val="01"/>
    <w:family w:val="roman"/>
    <w:pitch w:val="variable"/>
  </w:font>
  <w:font w:name="Cambria">
    <w:charset w:val="01"/>
    <w:family w:val="roman"/>
    <w:pitch w:val="variable"/>
  </w:font>
  <w:font w:name="Carlito">
    <w:altName w:val="Calibri"/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start"/>
      <w:pPr>
        <w:tabs>
          <w:tab w:val="num" w:pos="0"/>
        </w:tabs>
        <w:ind w:star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pStyle w:val="Heading4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7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f549d"/>
    <w:pPr>
      <w:widowControl/>
      <w:suppressAutoHyphens w:val="true"/>
      <w:bidi w:val="0"/>
      <w:spacing w:before="0" w:after="0"/>
      <w:jc w:val="start"/>
    </w:pPr>
    <w:rPr>
      <w:rFonts w:ascii="Arial" w:hAnsi="Arial" w:eastAsia="Times New Roman" w:cs="Arial"/>
      <w:color w:val="auto"/>
      <w:kern w:val="0"/>
      <w:sz w:val="20"/>
      <w:szCs w:val="20"/>
      <w:lang w:eastAsia="fr-FR" w:val="fr-FR" w:bidi="ar-SA"/>
    </w:rPr>
  </w:style>
  <w:style w:type="paragraph" w:styleId="Heading3">
    <w:name w:val="heading 3"/>
    <w:basedOn w:val="Normal"/>
    <w:next w:val="Normal"/>
    <w:link w:val="Titre3Car"/>
    <w:uiPriority w:val="9"/>
    <w:semiHidden/>
    <w:unhideWhenUsed/>
    <w:qFormat/>
    <w:rsid w:val="00cb76e4"/>
    <w:pPr>
      <w:keepNext w:val="true"/>
      <w:keepLines/>
      <w:spacing w:before="40" w:after="0"/>
      <w:outlineLvl w:val="2"/>
    </w:pPr>
    <w:rPr>
      <w:rFonts w:ascii="Cambria" w:hAnsi="Cambria" w:eastAsia="" w:cs="" w:asciiTheme="majorHAnsi" w:cstheme="majorBidi" w:eastAsiaTheme="majorEastAsia" w:hAnsiTheme="majorHAnsi"/>
      <w:color w:themeColor="accent1" w:themeShade="7f" w:val="243F60"/>
      <w:sz w:val="24"/>
      <w:szCs w:val="24"/>
    </w:rPr>
  </w:style>
  <w:style w:type="paragraph" w:styleId="Heading4">
    <w:name w:val="heading 4"/>
    <w:basedOn w:val="Normal"/>
    <w:next w:val="Normal"/>
    <w:link w:val="Titre4Car"/>
    <w:qFormat/>
    <w:rsid w:val="001b7d8e"/>
    <w:pPr>
      <w:keepNext w:val="true"/>
      <w:numPr>
        <w:ilvl w:val="3"/>
        <w:numId w:val="1"/>
      </w:numPr>
      <w:jc w:val="end"/>
      <w:outlineLvl w:val="3"/>
    </w:pPr>
    <w:rPr>
      <w:rFonts w:ascii="Arial Narrow" w:hAnsi="Arial Narrow" w:cs="Times New Roman"/>
      <w:b/>
      <w:bCs/>
      <w:sz w:val="16"/>
      <w:szCs w:val="24"/>
      <w:lang w:eastAsia="ar-SA"/>
    </w:rPr>
  </w:style>
  <w:style w:type="paragraph" w:styleId="Heading5">
    <w:name w:val="heading 5"/>
    <w:basedOn w:val="Normal"/>
    <w:next w:val="Normal"/>
    <w:link w:val="Titre5Car"/>
    <w:qFormat/>
    <w:rsid w:val="000f549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Titre5Car" w:customStyle="1">
    <w:name w:val="Titre 5 Car"/>
    <w:basedOn w:val="DefaultParagraphFont"/>
    <w:rsid w:val="000f549d"/>
    <w:rPr>
      <w:rFonts w:ascii="Arial" w:hAnsi="Arial" w:eastAsia="Times New Roman" w:cs="Arial"/>
      <w:b/>
      <w:bCs/>
      <w:i/>
      <w:iCs/>
      <w:sz w:val="26"/>
      <w:szCs w:val="26"/>
      <w:lang w:eastAsia="fr-FR"/>
    </w:rPr>
  </w:style>
  <w:style w:type="character" w:styleId="Hyperlink">
    <w:name w:val="Hyperlink"/>
    <w:rsid w:val="000f549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57607"/>
    <w:rPr>
      <w:color w:themeColor="followedHyperlink" w:val="800080"/>
      <w:u w:val="single"/>
    </w:rPr>
  </w:style>
  <w:style w:type="character" w:styleId="En-tteCar" w:customStyle="1">
    <w:name w:val="En-tête Car"/>
    <w:basedOn w:val="DefaultParagraphFont"/>
    <w:uiPriority w:val="99"/>
    <w:rsid w:val="00df2a4f"/>
    <w:rPr>
      <w:rFonts w:ascii="Arial" w:hAnsi="Arial" w:eastAsia="Times New Roman" w:cs="Arial"/>
      <w:sz w:val="20"/>
      <w:szCs w:val="20"/>
      <w:lang w:eastAsia="fr-FR"/>
    </w:rPr>
  </w:style>
  <w:style w:type="character" w:styleId="PieddepageCar" w:customStyle="1">
    <w:name w:val="Pied de page Car"/>
    <w:basedOn w:val="DefaultParagraphFont"/>
    <w:uiPriority w:val="99"/>
    <w:rsid w:val="00df2a4f"/>
    <w:rPr>
      <w:rFonts w:ascii="Arial" w:hAnsi="Arial" w:eastAsia="Times New Roman" w:cs="Arial"/>
      <w:sz w:val="20"/>
      <w:szCs w:val="20"/>
      <w:lang w:eastAsia="fr-FR"/>
    </w:rPr>
  </w:style>
  <w:style w:type="character" w:styleId="Titre4Car" w:customStyle="1">
    <w:name w:val="Titre 4 Car"/>
    <w:basedOn w:val="DefaultParagraphFont"/>
    <w:rsid w:val="001b7d8e"/>
    <w:rPr>
      <w:rFonts w:ascii="Arial Narrow" w:hAnsi="Arial Narrow" w:eastAsia="Times New Roman" w:cs="Times New Roman"/>
      <w:b/>
      <w:bCs/>
      <w:sz w:val="16"/>
      <w:szCs w:val="24"/>
      <w:lang w:eastAsia="ar-SA"/>
    </w:rPr>
  </w:style>
  <w:style w:type="character" w:styleId="Strong">
    <w:name w:val="Strong"/>
    <w:basedOn w:val="DefaultParagraphFont"/>
    <w:uiPriority w:val="22"/>
    <w:qFormat/>
    <w:rsid w:val="009e7db3"/>
    <w:rPr>
      <w:b/>
      <w:bCs/>
    </w:rPr>
  </w:style>
  <w:style w:type="character" w:styleId="TextedebullesCar" w:customStyle="1">
    <w:name w:val="Texte de bulles Car"/>
    <w:basedOn w:val="DefaultParagraphFont"/>
    <w:link w:val="BalloonText"/>
    <w:uiPriority w:val="99"/>
    <w:semiHidden/>
    <w:rsid w:val="00560b59"/>
    <w:rPr>
      <w:rFonts w:ascii="Lucida Grande" w:hAnsi="Lucida Grande" w:eastAsia="Times New Roman" w:cs="Lucida Grande"/>
      <w:sz w:val="18"/>
      <w:szCs w:val="18"/>
      <w:lang w:eastAsia="fr-FR"/>
    </w:rPr>
  </w:style>
  <w:style w:type="character" w:styleId="CommentReference">
    <w:name w:val="annotation reference"/>
    <w:basedOn w:val="DefaultParagraphFont"/>
    <w:uiPriority w:val="99"/>
    <w:semiHidden/>
    <w:unhideWhenUsed/>
    <w:rsid w:val="007a7597"/>
    <w:rPr>
      <w:sz w:val="16"/>
      <w:szCs w:val="16"/>
    </w:rPr>
  </w:style>
  <w:style w:type="character" w:styleId="CommentaireCar" w:customStyle="1">
    <w:name w:val="Commentaire Car"/>
    <w:basedOn w:val="DefaultParagraphFont"/>
    <w:uiPriority w:val="99"/>
    <w:semiHidden/>
    <w:rsid w:val="007a7597"/>
    <w:rPr>
      <w:rFonts w:ascii="Arial" w:hAnsi="Arial" w:eastAsia="Times New Roman" w:cs="Arial"/>
      <w:sz w:val="20"/>
      <w:szCs w:val="20"/>
      <w:lang w:eastAsia="fr-FR"/>
    </w:rPr>
  </w:style>
  <w:style w:type="character" w:styleId="ObjetducommentaireCar" w:customStyle="1">
    <w:name w:val="Objet du commentaire Car"/>
    <w:basedOn w:val="CommentaireCar"/>
    <w:link w:val="annotationsubject"/>
    <w:uiPriority w:val="99"/>
    <w:semiHidden/>
    <w:rsid w:val="007a7597"/>
    <w:rPr>
      <w:rFonts w:ascii="Arial" w:hAnsi="Arial" w:eastAsia="Times New Roman" w:cs="Arial"/>
      <w:b/>
      <w:bCs/>
      <w:sz w:val="20"/>
      <w:szCs w:val="20"/>
      <w:lang w:eastAsia="fr-FR"/>
    </w:rPr>
  </w:style>
  <w:style w:type="character" w:styleId="Titre3Car" w:customStyle="1">
    <w:name w:val="Titre 3 Car"/>
    <w:basedOn w:val="DefaultParagraphFont"/>
    <w:uiPriority w:val="9"/>
    <w:semiHidden/>
    <w:rsid w:val="00cb76e4"/>
    <w:rPr>
      <w:rFonts w:ascii="Cambria" w:hAnsi="Cambria" w:eastAsia="" w:cs="" w:asciiTheme="majorHAnsi" w:cstheme="majorBidi" w:eastAsiaTheme="majorEastAsia" w:hAnsiTheme="majorHAnsi"/>
      <w:color w:themeColor="accent1" w:themeShade="7f" w:val="243F60"/>
      <w:sz w:val="24"/>
      <w:szCs w:val="24"/>
      <w:lang w:eastAsia="fr-FR"/>
    </w:rPr>
  </w:style>
  <w:style w:type="character" w:styleId="UnresolvedMention">
    <w:name w:val="Unresolved Mention"/>
    <w:basedOn w:val="DefaultParagraphFont"/>
    <w:uiPriority w:val="99"/>
    <w:semiHidden/>
    <w:unhideWhenUsed/>
    <w:rsid w:val="00cb76e4"/>
    <w:rPr>
      <w:color w:val="605E5C"/>
      <w:shd w:fill="E1DFDD" w:val="clear"/>
    </w:rPr>
  </w:style>
  <w:style w:type="paragraph" w:styleId="Titre" w:customStyle="1">
    <w:name w:val="Titre"/>
    <w:basedOn w:val="Normal"/>
    <w:next w:val="BodyText"/>
    <w:qFormat/>
    <w:pPr>
      <w:keepNext w:val="true"/>
      <w:spacing w:before="240" w:after="120"/>
    </w:pPr>
    <w:rPr>
      <w:rFonts w:ascii="Carlito" w:hAnsi="Carlito" w:eastAsia="Noto Sans SC Regular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Noto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Carlito" w:hAnsi="Carlito" w:eastAsia="Noto Sans SC Regular" w:cs="Noto Sans"/>
      <w:sz w:val="28"/>
      <w:szCs w:val="28"/>
    </w:rPr>
  </w:style>
  <w:style w:type="paragraph" w:styleId="ListParagraph">
    <w:name w:val="List Paragraph"/>
    <w:basedOn w:val="Normal"/>
    <w:uiPriority w:val="34"/>
    <w:qFormat/>
    <w:rsid w:val="000f549d"/>
    <w:pPr>
      <w:spacing w:before="0" w:after="0"/>
      <w:ind w:start="720"/>
      <w:contextualSpacing/>
    </w:pPr>
    <w:rPr/>
  </w:style>
  <w:style w:type="paragraph" w:styleId="En-tteetpieddepageuser" w:customStyle="1">
    <w:name w:val="En-tête et pied de page (user)"/>
    <w:basedOn w:val="Normal"/>
    <w:qFormat/>
    <w:pPr/>
    <w:rPr/>
  </w:style>
  <w:style w:type="paragraph" w:styleId="En-tteetpieddepage" w:customStyle="1">
    <w:name w:val="En-tête et pied de page"/>
    <w:basedOn w:val="Normal"/>
    <w:qFormat/>
    <w:pPr/>
    <w:rPr/>
  </w:style>
  <w:style w:type="paragraph" w:styleId="Header">
    <w:name w:val="header"/>
    <w:basedOn w:val="Normal"/>
    <w:link w:val="En-tteCar"/>
    <w:uiPriority w:val="99"/>
    <w:unhideWhenUsed/>
    <w:rsid w:val="00df2a4f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PieddepageCar"/>
    <w:uiPriority w:val="99"/>
    <w:unhideWhenUsed/>
    <w:rsid w:val="00df2a4f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TextedebullesCar"/>
    <w:uiPriority w:val="99"/>
    <w:semiHidden/>
    <w:unhideWhenUsed/>
    <w:rsid w:val="00560b59"/>
    <w:pPr/>
    <w:rPr>
      <w:rFonts w:ascii="Lucida Grande" w:hAnsi="Lucida Grande" w:cs="Lucida Grande"/>
      <w:sz w:val="18"/>
      <w:szCs w:val="18"/>
    </w:rPr>
  </w:style>
  <w:style w:type="paragraph" w:styleId="CommentText">
    <w:name w:val="annotation text"/>
    <w:basedOn w:val="Normal"/>
    <w:link w:val="CommentaireCar"/>
    <w:uiPriority w:val="99"/>
    <w:semiHidden/>
    <w:unhideWhenUsed/>
    <w:rsid w:val="007a7597"/>
    <w:pPr/>
    <w:rPr/>
  </w:style>
  <w:style w:type="paragraph" w:styleId="annotationsubject">
    <w:name w:val="annotation subject"/>
    <w:basedOn w:val="CommentText"/>
    <w:next w:val="CommentText"/>
    <w:link w:val="ObjetducommentaireCar"/>
    <w:uiPriority w:val="99"/>
    <w:semiHidden/>
    <w:unhideWhenUsed/>
    <w:rsid w:val="007a7597"/>
    <w:pPr/>
    <w:rPr>
      <w:b/>
      <w:bCs/>
    </w:rPr>
  </w:style>
  <w:style w:type="paragraph" w:styleId="Contenudecadreuser" w:customStyle="1">
    <w:name w:val="Contenu de cadre (user)"/>
    <w:basedOn w:val="Normal"/>
    <w:qFormat/>
    <w:pPr/>
    <w:rPr/>
  </w:style>
  <w:style w:type="paragraph" w:styleId="Contenudecadre" w:customStyle="1">
    <w:name w:val="Contenu de cadre"/>
    <w:basedOn w:val="Normal"/>
    <w:qFormat/>
    <w:pPr/>
    <w:rPr/>
  </w:style>
  <w:style w:type="numbering" w:styleId="Pasdeliste" w:default="1">
    <w:name w:val="Pas de liste"/>
    <w:uiPriority w:val="99"/>
    <w:semiHidden/>
    <w:unhideWhenUsed/>
  </w:style>
  <w:style w:type="numbering" w:styleId="Pasdelisteuser" w:customStyle="1">
    <w:name w:val="Pas de liste (user)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59"/>
    <w:rsid w:val="000c107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5158EA-CD52-4B10-BED6-F599B04C4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Application>Collabora_Office/25.04.12.3$Linux_X86_64 LibreOffice_project/3c660808fe24a96283bda12f73c6405d49b49654</Application>
  <AppVersion>15.0000</AppVersion>
  <Pages>2</Pages>
  <Words>659</Words>
  <Characters>3906</Characters>
  <CharactersWithSpaces>4495</CharactersWithSpaces>
  <Paragraphs>82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2026-06-01T17:06:00Z</dcterms:created>
  <dc:creator>jsalles</dc:creator>
  <dc:description/>
  <dc:language>fr-FR</dc:language>
  <cp:lastModifiedBy>Serge MOUTON</cp:lastModifiedBy>
  <cp:lastPrinted>2024-09-17T13:57:00Z</cp:lastPrinted>
  <dcterms:modified xsi:type="dcterms:W3CDTF">2026-06-09T11:20:00Z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